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仿宋_GB2312" w:cs="Times New Roman"/>
          <w:bCs/>
          <w:sz w:val="32"/>
          <w:szCs w:val="32"/>
          <w:lang w:val="en-US" w:eastAsia="zh-CN"/>
        </w:rPr>
      </w:pPr>
      <w:bookmarkStart w:id="0" w:name="_GoBack"/>
      <w:bookmarkEnd w:id="0"/>
      <w:r>
        <w:rPr>
          <w:rFonts w:hint="eastAsia" w:ascii="仿宋_GB2312" w:hAnsi="仿宋_GB2312" w:eastAsia="仿宋_GB2312" w:cs="仿宋_GB2312"/>
          <w:bCs/>
          <w:sz w:val="32"/>
          <w:szCs w:val="32"/>
          <w:lang w:eastAsia="zh-CN"/>
        </w:rPr>
        <w:t>附件</w:t>
      </w:r>
      <w:r>
        <w:rPr>
          <w:rFonts w:hint="default" w:ascii="Times New Roman" w:hAnsi="Times New Roman" w:eastAsia="仿宋_GB2312" w:cs="Times New Roman"/>
          <w:bCs/>
          <w:sz w:val="32"/>
          <w:szCs w:val="32"/>
          <w:lang w:val="en-US" w:eastAsia="zh-CN"/>
        </w:rPr>
        <w:t>2</w:t>
      </w:r>
    </w:p>
    <w:p>
      <w:pPr>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《医疗器械临床试验质量管理规范</w:t>
      </w:r>
      <w:r>
        <w:rPr>
          <w:rFonts w:hint="eastAsia" w:ascii="方正小标宋简体" w:eastAsia="方正小标宋简体"/>
          <w:sz w:val="44"/>
          <w:szCs w:val="44"/>
        </w:rPr>
        <w:t>（修订草案征求意见稿）</w:t>
      </w:r>
      <w:r>
        <w:rPr>
          <w:rFonts w:hint="eastAsia" w:ascii="方正小标宋简体" w:hAnsi="方正小标宋简体" w:eastAsia="方正小标宋简体" w:cs="方正小标宋简体"/>
          <w:bCs/>
          <w:sz w:val="44"/>
          <w:szCs w:val="44"/>
        </w:rPr>
        <w:t>》</w:t>
      </w:r>
      <w:r>
        <w:rPr>
          <w:rFonts w:hint="eastAsia" w:ascii="方正小标宋简体" w:eastAsia="方正小标宋简体"/>
          <w:sz w:val="44"/>
          <w:szCs w:val="44"/>
        </w:rPr>
        <w:t>起草说明</w:t>
      </w:r>
    </w:p>
    <w:p>
      <w:pPr>
        <w:ind w:firstLine="640" w:firstLineChars="200"/>
        <w:rPr>
          <w:rFonts w:ascii="黑体" w:hAnsi="黑体" w:eastAsia="黑体"/>
          <w:b w:val="0"/>
          <w:sz w:val="52"/>
          <w:szCs w:val="52"/>
        </w:rPr>
      </w:pPr>
      <w:r>
        <w:rPr>
          <w:rFonts w:hint="eastAsia" w:ascii="黑体" w:hAnsi="黑体" w:eastAsia="黑体"/>
          <w:b w:val="0"/>
          <w:sz w:val="32"/>
          <w:szCs w:val="32"/>
        </w:rPr>
        <w:t>一、修订的背景</w:t>
      </w:r>
    </w:p>
    <w:p>
      <w:pPr>
        <w:ind w:firstLine="640" w:firstLineChars="200"/>
        <w:rPr>
          <w:rFonts w:ascii="Times New Roman" w:hAnsi="Times New Roman" w:eastAsia="仿宋" w:cs="Times New Roman"/>
          <w:sz w:val="32"/>
          <w:szCs w:val="32"/>
        </w:rPr>
      </w:pPr>
      <w:r>
        <w:rPr>
          <w:rFonts w:hint="default" w:ascii="Times New Roman" w:hAnsi="Times New Roman" w:eastAsia="仿宋" w:cs="Times New Roman"/>
          <w:sz w:val="32"/>
          <w:szCs w:val="32"/>
        </w:rPr>
        <w:t>2016年</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原国家食品药品监督管理总局会同原国家卫生和计划生育委员会发布了《医疗器械临床试验质量管理规范》（国家食品药品监督管理总局令 第25号）（以下简称《规范》）。该规范的实施，确立了医疗器械临床试验的准则，对</w:t>
      </w:r>
      <w:r>
        <w:rPr>
          <w:rFonts w:hint="default" w:ascii="Times New Roman" w:hAnsi="Times New Roman" w:eastAsia="仿宋" w:cs="Times New Roman"/>
          <w:sz w:val="32"/>
          <w:szCs w:val="32"/>
          <w:lang w:eastAsia="zh-CN"/>
        </w:rPr>
        <w:t>加强医疗器械临床试验管理、维护受试者权益</w:t>
      </w:r>
      <w:r>
        <w:rPr>
          <w:rFonts w:hint="default" w:ascii="Times New Roman" w:hAnsi="Times New Roman" w:eastAsia="仿宋" w:cs="Times New Roman"/>
          <w:sz w:val="32"/>
          <w:szCs w:val="32"/>
        </w:rPr>
        <w:t>起到了积极的作用。</w:t>
      </w:r>
    </w:p>
    <w:p>
      <w:pPr>
        <w:ind w:firstLine="640" w:firstLineChars="200"/>
        <w:rPr>
          <w:rFonts w:ascii="Times New Roman" w:hAnsi="Times New Roman" w:eastAsia="仿宋" w:cs="Times New Roman"/>
          <w:sz w:val="32"/>
          <w:szCs w:val="32"/>
        </w:rPr>
      </w:pPr>
      <w:r>
        <w:rPr>
          <w:rFonts w:hint="default" w:ascii="Times New Roman" w:hAnsi="Times New Roman" w:eastAsia="仿宋" w:cs="Times New Roman"/>
          <w:sz w:val="32"/>
          <w:szCs w:val="32"/>
          <w:lang w:eastAsia="zh-CN"/>
        </w:rPr>
        <w:t>近年来，随着</w:t>
      </w:r>
      <w:r>
        <w:rPr>
          <w:rFonts w:hint="default" w:ascii="Times New Roman" w:hAnsi="Times New Roman" w:eastAsia="仿宋" w:cs="Times New Roman"/>
          <w:sz w:val="32"/>
          <w:szCs w:val="32"/>
        </w:rPr>
        <w:t>医疗器械审评审批制度改革</w:t>
      </w:r>
      <w:r>
        <w:rPr>
          <w:rFonts w:hint="default" w:ascii="Times New Roman" w:hAnsi="Times New Roman" w:eastAsia="仿宋" w:cs="Times New Roman"/>
          <w:sz w:val="32"/>
          <w:szCs w:val="32"/>
          <w:lang w:eastAsia="zh-CN"/>
        </w:rPr>
        <w:t>不断深入</w:t>
      </w:r>
      <w:r>
        <w:rPr>
          <w:rFonts w:hint="default" w:ascii="Times New Roman" w:hAnsi="Times New Roman" w:eastAsia="仿宋" w:cs="Times New Roman"/>
          <w:sz w:val="32"/>
          <w:szCs w:val="32"/>
        </w:rPr>
        <w:t>，医疗器械临床试验机构由资质认定改为备案管理等多项改革政策相继出台，《规范》中的一些规定内容已经不再适用</w:t>
      </w:r>
      <w:r>
        <w:rPr>
          <w:rFonts w:hint="default" w:ascii="Times New Roman" w:hAnsi="Times New Roman" w:eastAsia="仿宋" w:cs="Times New Roman"/>
          <w:sz w:val="32"/>
          <w:szCs w:val="32"/>
          <w:lang w:eastAsia="zh-CN"/>
        </w:rPr>
        <w:t>，一些条款也存在可操作性不强的问题</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同时</w:t>
      </w:r>
      <w:r>
        <w:rPr>
          <w:rFonts w:hint="default" w:ascii="Times New Roman" w:hAnsi="Times New Roman" w:eastAsia="仿宋" w:cs="Times New Roman"/>
          <w:sz w:val="32"/>
          <w:szCs w:val="32"/>
        </w:rPr>
        <w:t>，我国作为国际医疗器械监管</w:t>
      </w:r>
      <w:r>
        <w:rPr>
          <w:rFonts w:hint="default" w:ascii="Times New Roman" w:hAnsi="Times New Roman" w:eastAsia="仿宋" w:cs="Times New Roman"/>
          <w:sz w:val="32"/>
          <w:szCs w:val="32"/>
          <w:lang w:eastAsia="zh-CN"/>
        </w:rPr>
        <w:t>机构</w:t>
      </w:r>
      <w:r>
        <w:rPr>
          <w:rFonts w:hint="default" w:ascii="Times New Roman" w:hAnsi="Times New Roman" w:eastAsia="仿宋" w:cs="Times New Roman"/>
          <w:sz w:val="32"/>
          <w:szCs w:val="32"/>
        </w:rPr>
        <w:t>论坛（IMDRF）的成员国，正积极主导或参与制定国际医疗器械监管协调</w:t>
      </w:r>
      <w:r>
        <w:rPr>
          <w:rFonts w:hint="default" w:ascii="Times New Roman" w:hAnsi="Times New Roman" w:eastAsia="仿宋" w:cs="Times New Roman"/>
          <w:sz w:val="32"/>
          <w:szCs w:val="32"/>
          <w:lang w:eastAsia="zh-CN"/>
        </w:rPr>
        <w:t>相关</w:t>
      </w:r>
      <w:r>
        <w:rPr>
          <w:rFonts w:hint="default" w:ascii="Times New Roman" w:hAnsi="Times New Roman" w:eastAsia="仿宋" w:cs="Times New Roman"/>
          <w:sz w:val="32"/>
          <w:szCs w:val="32"/>
        </w:rPr>
        <w:t>文件</w:t>
      </w:r>
      <w:r>
        <w:rPr>
          <w:rFonts w:hint="default" w:ascii="Times New Roman" w:hAnsi="Times New Roman" w:eastAsia="仿宋" w:cs="Times New Roman"/>
          <w:sz w:val="32"/>
          <w:szCs w:val="32"/>
          <w:lang w:eastAsia="zh-CN"/>
        </w:rPr>
        <w:t>。为配合新修订的</w:t>
      </w:r>
      <w:r>
        <w:rPr>
          <w:rFonts w:hint="default" w:ascii="Times New Roman" w:hAnsi="Times New Roman" w:eastAsia="仿宋" w:cs="Times New Roman"/>
          <w:sz w:val="32"/>
          <w:szCs w:val="32"/>
        </w:rPr>
        <w:t>《医疗器械监督管理条例》</w:t>
      </w:r>
      <w:r>
        <w:rPr>
          <w:rFonts w:hint="default" w:ascii="Times New Roman" w:hAnsi="Times New Roman" w:eastAsia="仿宋" w:cs="Times New Roman"/>
          <w:sz w:val="32"/>
          <w:szCs w:val="32"/>
          <w:lang w:eastAsia="zh-CN"/>
        </w:rPr>
        <w:t>实施，积极转化适用国际医疗器械监管协调文件</w:t>
      </w:r>
      <w:r>
        <w:rPr>
          <w:rFonts w:hint="default" w:ascii="Times New Roman" w:hAnsi="Times New Roman" w:eastAsia="仿宋" w:cs="Times New Roman"/>
          <w:sz w:val="32"/>
          <w:szCs w:val="32"/>
        </w:rPr>
        <w:t>，有必要对《规范》进行适当的修改和补充，以适应医疗器械临床试验管理工作的需求。</w:t>
      </w:r>
    </w:p>
    <w:p>
      <w:pPr>
        <w:ind w:firstLine="640" w:firstLineChars="200"/>
        <w:rPr>
          <w:rFonts w:ascii="Times New Roman" w:hAnsi="Times New Roman" w:eastAsia="黑体" w:cs="Times New Roman"/>
          <w:b w:val="0"/>
          <w:sz w:val="32"/>
          <w:szCs w:val="32"/>
        </w:rPr>
      </w:pPr>
      <w:r>
        <w:rPr>
          <w:rFonts w:hint="default" w:ascii="Times New Roman" w:hAnsi="Times New Roman" w:eastAsia="黑体" w:cs="Times New Roman"/>
          <w:b w:val="0"/>
          <w:sz w:val="32"/>
          <w:szCs w:val="32"/>
        </w:rPr>
        <w:t>二、修订的过程</w:t>
      </w:r>
    </w:p>
    <w:p>
      <w:pPr>
        <w:ind w:firstLine="640" w:firstLineChars="200"/>
        <w:rPr>
          <w:rFonts w:ascii="Times New Roman" w:hAnsi="Times New Roman" w:eastAsia="仿宋" w:cs="Times New Roman"/>
          <w:sz w:val="32"/>
          <w:szCs w:val="32"/>
        </w:rPr>
      </w:pPr>
      <w:r>
        <w:rPr>
          <w:rFonts w:hint="default" w:ascii="Times New Roman" w:hAnsi="Times New Roman" w:eastAsia="仿宋" w:cs="Times New Roman"/>
          <w:sz w:val="32"/>
          <w:szCs w:val="32"/>
        </w:rPr>
        <w:t>2019年,</w:t>
      </w:r>
      <w:r>
        <w:rPr>
          <w:rFonts w:ascii="Times New Roman" w:hAnsi="Times New Roman" w:eastAsia="仿宋_GB2312" w:cs="Times New Roman"/>
          <w:color w:val="000000"/>
          <w:sz w:val="32"/>
          <w:szCs w:val="32"/>
        </w:rPr>
        <w:t>国家药监局器械注册司牵头成立工作组，</w:t>
      </w:r>
      <w:r>
        <w:rPr>
          <w:rFonts w:hint="default" w:ascii="Times New Roman" w:hAnsi="Times New Roman" w:eastAsia="仿宋" w:cs="Times New Roman"/>
          <w:sz w:val="32"/>
          <w:szCs w:val="32"/>
        </w:rPr>
        <w:t>启动《规范》修订工作。</w:t>
      </w:r>
      <w:r>
        <w:rPr>
          <w:rFonts w:hint="default" w:ascii="Times New Roman" w:hAnsi="Times New Roman" w:eastAsia="仿宋" w:cs="Times New Roman"/>
          <w:sz w:val="32"/>
          <w:szCs w:val="32"/>
          <w:lang w:eastAsia="zh-CN"/>
        </w:rPr>
        <w:t>经过充分调研和座谈会议，</w:t>
      </w:r>
      <w:r>
        <w:rPr>
          <w:rFonts w:hint="default" w:ascii="Times New Roman" w:hAnsi="Times New Roman" w:eastAsia="仿宋" w:cs="Times New Roman"/>
          <w:sz w:val="32"/>
          <w:szCs w:val="32"/>
        </w:rPr>
        <w:t>形成了《规范</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修订草案</w:t>
      </w:r>
      <w:r>
        <w:rPr>
          <w:rFonts w:hint="default" w:ascii="Times New Roman" w:hAnsi="Times New Roman" w:eastAsia="仿宋" w:cs="Times New Roman"/>
          <w:sz w:val="32"/>
          <w:szCs w:val="32"/>
          <w:lang w:eastAsia="zh-CN"/>
        </w:rPr>
        <w:t>初稿）</w:t>
      </w:r>
      <w:r>
        <w:rPr>
          <w:rFonts w:hint="default" w:ascii="Times New Roman" w:hAnsi="Times New Roman" w:eastAsia="仿宋" w:cs="Times New Roman"/>
          <w:sz w:val="32"/>
          <w:szCs w:val="32"/>
        </w:rPr>
        <w:t>》。2</w:t>
      </w:r>
      <w:r>
        <w:rPr>
          <w:rFonts w:ascii="Times New Roman" w:hAnsi="Times New Roman" w:eastAsia="仿宋" w:cs="Times New Roman"/>
          <w:sz w:val="32"/>
          <w:szCs w:val="32"/>
        </w:rPr>
        <w:t>021</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lang w:eastAsia="zh-CN"/>
        </w:rPr>
        <w:t>初</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工作组</w:t>
      </w:r>
      <w:r>
        <w:rPr>
          <w:rFonts w:hint="default" w:ascii="Times New Roman" w:hAnsi="Times New Roman" w:eastAsia="仿宋" w:cs="Times New Roman"/>
          <w:sz w:val="32"/>
          <w:szCs w:val="32"/>
        </w:rPr>
        <w:t>征求</w:t>
      </w:r>
      <w:r>
        <w:rPr>
          <w:rFonts w:hint="default" w:ascii="Times New Roman" w:hAnsi="Times New Roman" w:eastAsia="仿宋" w:cs="Times New Roman"/>
          <w:sz w:val="32"/>
          <w:szCs w:val="32"/>
          <w:lang w:eastAsia="zh-CN"/>
        </w:rPr>
        <w:t>有关部门和</w:t>
      </w:r>
      <w:r>
        <w:rPr>
          <w:rFonts w:hint="default" w:ascii="Times New Roman" w:hAnsi="Times New Roman" w:eastAsia="仿宋" w:cs="Times New Roman"/>
          <w:sz w:val="32"/>
          <w:szCs w:val="32"/>
        </w:rPr>
        <w:t>省</w:t>
      </w:r>
      <w:r>
        <w:rPr>
          <w:rFonts w:hint="default" w:ascii="Times New Roman" w:hAnsi="Times New Roman" w:eastAsia="仿宋" w:cs="Times New Roman"/>
          <w:sz w:val="32"/>
          <w:szCs w:val="32"/>
          <w:lang w:eastAsia="zh-CN"/>
        </w:rPr>
        <w:t>级药品监管部门</w:t>
      </w:r>
      <w:r>
        <w:rPr>
          <w:rFonts w:hint="default" w:ascii="Times New Roman" w:hAnsi="Times New Roman" w:eastAsia="仿宋" w:cs="Times New Roman"/>
          <w:sz w:val="32"/>
          <w:szCs w:val="32"/>
        </w:rPr>
        <w:t>意见，</w:t>
      </w:r>
      <w:r>
        <w:rPr>
          <w:rFonts w:hint="default" w:ascii="Times New Roman" w:hAnsi="Times New Roman" w:eastAsia="仿宋" w:cs="Times New Roman"/>
          <w:sz w:val="32"/>
          <w:szCs w:val="32"/>
          <w:lang w:eastAsia="zh-CN"/>
        </w:rPr>
        <w:t>对反馈意见进行逐条梳理和吸收</w:t>
      </w:r>
      <w:r>
        <w:rPr>
          <w:rFonts w:hint="default" w:ascii="Times New Roman" w:hAnsi="Times New Roman" w:eastAsia="仿宋" w:cs="Times New Roman"/>
          <w:sz w:val="32"/>
          <w:szCs w:val="32"/>
        </w:rPr>
        <w:t>。2</w:t>
      </w:r>
      <w:r>
        <w:rPr>
          <w:rFonts w:ascii="Times New Roman" w:hAnsi="Times New Roman" w:eastAsia="仿宋" w:cs="Times New Roman"/>
          <w:sz w:val="32"/>
          <w:szCs w:val="32"/>
        </w:rPr>
        <w:t>021</w:t>
      </w:r>
      <w:r>
        <w:rPr>
          <w:rFonts w:hint="default" w:ascii="Times New Roman" w:hAnsi="Times New Roman" w:eastAsia="仿宋" w:cs="Times New Roman"/>
          <w:sz w:val="32"/>
          <w:szCs w:val="32"/>
        </w:rPr>
        <w:t>年</w:t>
      </w:r>
      <w:r>
        <w:rPr>
          <w:rFonts w:ascii="Times New Roman" w:hAnsi="Times New Roman" w:eastAsia="仿宋" w:cs="Times New Roman"/>
          <w:sz w:val="32"/>
          <w:szCs w:val="32"/>
        </w:rPr>
        <w:t>4</w:t>
      </w:r>
      <w:r>
        <w:rPr>
          <w:rFonts w:hint="default" w:ascii="Times New Roman" w:hAnsi="Times New Roman" w:eastAsia="仿宋" w:cs="Times New Roman"/>
          <w:sz w:val="32"/>
          <w:szCs w:val="32"/>
        </w:rPr>
        <w:t>月，工作组对照新修订《医疗器械监督管理条例》</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《医疗器械注册管理办法</w:t>
      </w:r>
      <w:r>
        <w:rPr>
          <w:rFonts w:hint="default" w:ascii="Times New Roman" w:hAnsi="Times New Roman" w:eastAsia="仿宋" w:cs="Times New Roman"/>
          <w:sz w:val="32"/>
          <w:szCs w:val="32"/>
          <w:lang w:eastAsia="zh-CN"/>
        </w:rPr>
        <w:t>（修订草案征求意见稿）</w:t>
      </w:r>
      <w:r>
        <w:rPr>
          <w:rFonts w:hint="default" w:ascii="Times New Roman" w:hAnsi="Times New Roman" w:eastAsia="仿宋" w:cs="Times New Roman"/>
          <w:sz w:val="32"/>
          <w:szCs w:val="32"/>
        </w:rPr>
        <w:t>》，参考《药物临床试验质量管理规范》、</w:t>
      </w:r>
      <w:r>
        <w:rPr>
          <w:rFonts w:ascii="Times New Roman" w:hAnsi="Times New Roman" w:eastAsia="仿宋" w:cs="Times New Roman"/>
          <w:sz w:val="32"/>
          <w:szCs w:val="32"/>
        </w:rPr>
        <w:t>ISO 14155:2020《医疗器械临床试验-质量管理规范》</w:t>
      </w:r>
      <w:r>
        <w:rPr>
          <w:rFonts w:hint="default" w:ascii="Times New Roman" w:hAnsi="Times New Roman" w:eastAsia="仿宋" w:cs="Times New Roman"/>
          <w:sz w:val="32"/>
          <w:szCs w:val="32"/>
        </w:rPr>
        <w:t>等国内外法规、标准，</w:t>
      </w:r>
      <w:r>
        <w:rPr>
          <w:rFonts w:hint="default" w:ascii="Times New Roman" w:hAnsi="Times New Roman" w:eastAsia="仿宋" w:cs="Times New Roman"/>
          <w:sz w:val="32"/>
          <w:szCs w:val="32"/>
          <w:lang w:eastAsia="zh-CN"/>
        </w:rPr>
        <w:t>对有关重点问题进行研究，对文稿进行完善</w:t>
      </w:r>
      <w:r>
        <w:rPr>
          <w:rFonts w:hint="default" w:ascii="Times New Roman" w:hAnsi="Times New Roman" w:eastAsia="仿宋" w:cs="Times New Roman"/>
          <w:sz w:val="32"/>
          <w:szCs w:val="32"/>
        </w:rPr>
        <w:t>，形成《</w:t>
      </w:r>
      <w:r>
        <w:rPr>
          <w:rFonts w:hint="default" w:ascii="Times New Roman" w:hAnsi="Times New Roman" w:eastAsia="仿宋" w:cs="Times New Roman"/>
          <w:sz w:val="32"/>
          <w:szCs w:val="32"/>
          <w:lang w:eastAsia="zh-CN"/>
        </w:rPr>
        <w:t>规范（修订草案征求意见稿）</w:t>
      </w:r>
      <w:r>
        <w:rPr>
          <w:rFonts w:hint="default" w:ascii="Times New Roman" w:hAnsi="Times New Roman" w:eastAsia="仿宋" w:cs="Times New Roman"/>
          <w:sz w:val="32"/>
          <w:szCs w:val="32"/>
        </w:rPr>
        <w:t>》。</w:t>
      </w:r>
    </w:p>
    <w:p>
      <w:pPr>
        <w:ind w:firstLine="640" w:firstLineChars="200"/>
        <w:rPr>
          <w:rFonts w:ascii="Times New Roman" w:hAnsi="Times New Roman" w:eastAsia="黑体" w:cs="Times New Roman"/>
          <w:b w:val="0"/>
          <w:sz w:val="32"/>
          <w:szCs w:val="32"/>
        </w:rPr>
      </w:pPr>
      <w:r>
        <w:rPr>
          <w:rFonts w:hint="default" w:ascii="Times New Roman" w:hAnsi="Times New Roman" w:eastAsia="黑体" w:cs="Times New Roman"/>
          <w:b w:val="0"/>
          <w:sz w:val="32"/>
          <w:szCs w:val="32"/>
        </w:rPr>
        <w:t>三、主要修订内容</w:t>
      </w:r>
    </w:p>
    <w:p>
      <w:pPr>
        <w:ind w:firstLine="640" w:firstLineChars="200"/>
        <w:rPr>
          <w:rFonts w:ascii="Times New Roman" w:hAnsi="Times New Roman" w:eastAsia="楷体" w:cs="Times New Roman"/>
          <w:sz w:val="32"/>
          <w:szCs w:val="32"/>
        </w:rPr>
      </w:pPr>
      <w:r>
        <w:rPr>
          <w:rFonts w:hint="default" w:ascii="Times New Roman" w:hAnsi="Times New Roman" w:eastAsia="楷体" w:cs="Times New Roman"/>
          <w:sz w:val="32"/>
          <w:szCs w:val="32"/>
        </w:rPr>
        <w:t>（一）调整整体框架</w:t>
      </w:r>
    </w:p>
    <w:p>
      <w:pPr>
        <w:ind w:firstLine="640" w:firstLineChars="200"/>
        <w:rPr>
          <w:rFonts w:ascii="Times New Roman" w:hAnsi="Times New Roman" w:eastAsia="仿宋" w:cs="Times New Roman"/>
          <w:sz w:val="32"/>
          <w:szCs w:val="32"/>
        </w:rPr>
      </w:pPr>
      <w:r>
        <w:rPr>
          <w:rFonts w:hint="default" w:ascii="Times New Roman" w:hAnsi="Times New Roman" w:eastAsia="仿宋" w:cs="Times New Roman"/>
          <w:sz w:val="32"/>
          <w:szCs w:val="32"/>
        </w:rPr>
        <w:t>《规范》由</w:t>
      </w:r>
      <w:r>
        <w:rPr>
          <w:rFonts w:ascii="Times New Roman" w:hAnsi="Times New Roman" w:eastAsia="仿宋" w:cs="Times New Roman"/>
          <w:sz w:val="32"/>
          <w:szCs w:val="32"/>
        </w:rPr>
        <w:t>11章96条</w:t>
      </w:r>
      <w:r>
        <w:rPr>
          <w:rFonts w:hint="default" w:ascii="Times New Roman" w:hAnsi="Times New Roman" w:eastAsia="仿宋" w:cs="Times New Roman"/>
          <w:sz w:val="32"/>
          <w:szCs w:val="32"/>
          <w:lang w:val="en-US" w:eastAsia="zh-CN"/>
        </w:rPr>
        <w:t>调整</w:t>
      </w:r>
      <w:r>
        <w:rPr>
          <w:rFonts w:ascii="Times New Roman" w:hAnsi="Times New Roman" w:eastAsia="仿宋" w:cs="Times New Roman"/>
          <w:sz w:val="32"/>
          <w:szCs w:val="32"/>
        </w:rPr>
        <w:t>为9章6</w:t>
      </w:r>
      <w:r>
        <w:rPr>
          <w:rFonts w:hint="default" w:ascii="Times New Roman" w:hAnsi="Times New Roman" w:eastAsia="仿宋" w:cs="Times New Roman"/>
          <w:sz w:val="32"/>
          <w:szCs w:val="32"/>
        </w:rPr>
        <w:t>6</w:t>
      </w:r>
      <w:r>
        <w:rPr>
          <w:rFonts w:ascii="Times New Roman" w:hAnsi="Times New Roman" w:eastAsia="仿宋" w:cs="Times New Roman"/>
          <w:sz w:val="32"/>
          <w:szCs w:val="32"/>
        </w:rPr>
        <w:t>条。</w:t>
      </w:r>
      <w:r>
        <w:rPr>
          <w:rFonts w:hint="default" w:ascii="Times New Roman" w:hAnsi="Times New Roman" w:eastAsia="仿宋" w:cs="Times New Roman"/>
          <w:sz w:val="32"/>
          <w:szCs w:val="32"/>
        </w:rPr>
        <w:t>修订草案的章节分别是总则、伦理委员会、临床试验机构、研究者职责、申办者职责、临床试验方案和试验报告、多中心临床试验、记录要求和术语。</w:t>
      </w:r>
      <w:r>
        <w:rPr>
          <w:rFonts w:ascii="Times New Roman" w:hAnsi="Times New Roman" w:eastAsia="仿宋" w:cs="Times New Roman"/>
          <w:sz w:val="32"/>
          <w:szCs w:val="32"/>
        </w:rPr>
        <w:t>将</w:t>
      </w:r>
      <w:r>
        <w:rPr>
          <w:rFonts w:hint="default" w:ascii="Times New Roman" w:hAnsi="Times New Roman" w:eastAsia="仿宋" w:cs="Times New Roman"/>
          <w:sz w:val="32"/>
          <w:szCs w:val="32"/>
        </w:rPr>
        <w:t>2016版</w:t>
      </w:r>
      <w:r>
        <w:rPr>
          <w:rFonts w:ascii="Times New Roman" w:hAnsi="Times New Roman" w:eastAsia="仿宋" w:cs="Times New Roman"/>
          <w:sz w:val="32"/>
          <w:szCs w:val="32"/>
        </w:rPr>
        <w:t>《规范》中的临床试验前准备、受试者权益保障、试验用医疗器械管理等章节内容划归到临床试验各参与方职责章节中。</w:t>
      </w:r>
    </w:p>
    <w:p>
      <w:pPr>
        <w:ind w:firstLine="640" w:firstLineChars="200"/>
        <w:rPr>
          <w:rFonts w:ascii="Times New Roman" w:hAnsi="Times New Roman" w:eastAsia="楷体" w:cs="Times New Roman"/>
          <w:sz w:val="32"/>
          <w:szCs w:val="32"/>
        </w:rPr>
      </w:pPr>
      <w:r>
        <w:rPr>
          <w:rFonts w:hint="default" w:ascii="Times New Roman" w:hAnsi="Times New Roman" w:eastAsia="楷体" w:cs="Times New Roman"/>
          <w:sz w:val="32"/>
          <w:szCs w:val="32"/>
        </w:rPr>
        <w:t>（二）将体外诊断试剂纳入《规范》管理</w:t>
      </w:r>
    </w:p>
    <w:p>
      <w:pPr>
        <w:ind w:firstLine="640" w:firstLineChars="200"/>
        <w:rPr>
          <w:rFonts w:ascii="Times New Roman" w:hAnsi="Times New Roman" w:eastAsia="仿宋" w:cs="Times New Roman"/>
          <w:sz w:val="32"/>
          <w:szCs w:val="32"/>
        </w:rPr>
      </w:pPr>
      <w:r>
        <w:rPr>
          <w:rFonts w:hint="default" w:ascii="Times New Roman" w:hAnsi="Times New Roman" w:eastAsia="仿宋" w:cs="Times New Roman"/>
          <w:sz w:val="32"/>
          <w:szCs w:val="32"/>
        </w:rPr>
        <w:t>本次修订适应体外诊断试剂产业和监管需求，将体外诊断试剂临床试验质量管理要求纳入《规范》，整体上与医疗器械临床试验质量管理要求一致，体现临床试验质量管理理念与要求的一致性，同时考虑体外诊断试剂临床试验实施的特殊情况，提出了部分适用性条款，增强其可操作性。</w:t>
      </w:r>
    </w:p>
    <w:p>
      <w:pPr>
        <w:ind w:firstLine="640" w:firstLineChars="200"/>
        <w:rPr>
          <w:rFonts w:ascii="Times New Roman" w:hAnsi="Times New Roman" w:eastAsia="楷体" w:cs="Times New Roman"/>
          <w:sz w:val="32"/>
          <w:szCs w:val="32"/>
        </w:rPr>
      </w:pPr>
      <w:r>
        <w:rPr>
          <w:rFonts w:hint="default" w:ascii="Times New Roman" w:hAnsi="Times New Roman" w:eastAsia="楷体" w:cs="Times New Roman"/>
          <w:sz w:val="32"/>
          <w:szCs w:val="32"/>
        </w:rPr>
        <w:t>（三）明确医疗器械临床试验相关方责任</w:t>
      </w:r>
    </w:p>
    <w:p>
      <w:pPr>
        <w:ind w:firstLine="646" w:firstLineChars="202"/>
        <w:rPr>
          <w:rFonts w:ascii="Times New Roman" w:hAnsi="Times New Roman" w:eastAsia="仿宋" w:cs="Times New Roman"/>
          <w:sz w:val="32"/>
          <w:szCs w:val="32"/>
        </w:rPr>
      </w:pPr>
      <w:r>
        <w:rPr>
          <w:rFonts w:hint="default" w:ascii="Times New Roman" w:hAnsi="Times New Roman" w:eastAsia="仿宋" w:cs="Times New Roman"/>
          <w:sz w:val="32"/>
          <w:szCs w:val="32"/>
        </w:rPr>
        <w:t>《规范》强化临床试验各方责任。</w:t>
      </w:r>
      <w:r>
        <w:rPr>
          <w:rFonts w:hint="default" w:ascii="Times New Roman" w:hAnsi="Times New Roman" w:eastAsia="仿宋" w:cs="Times New Roman"/>
          <w:b w:val="0"/>
          <w:sz w:val="32"/>
          <w:szCs w:val="32"/>
        </w:rPr>
        <w:t>一是</w:t>
      </w:r>
      <w:r>
        <w:rPr>
          <w:rFonts w:hint="default" w:ascii="Times New Roman" w:hAnsi="Times New Roman" w:eastAsia="仿宋" w:cs="Times New Roman"/>
          <w:sz w:val="32"/>
          <w:szCs w:val="32"/>
        </w:rPr>
        <w:t>突出申办者主体责任，引入了风险管理理念</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明确规定申办者</w:t>
      </w:r>
      <w:r>
        <w:rPr>
          <w:rFonts w:hint="default" w:ascii="Times New Roman" w:hAnsi="Times New Roman" w:eastAsia="仿宋" w:cs="Times New Roman"/>
          <w:sz w:val="32"/>
          <w:szCs w:val="32"/>
          <w:lang w:eastAsia="zh-CN"/>
        </w:rPr>
        <w:t>的质量管理体系应当覆盖</w:t>
      </w:r>
      <w:r>
        <w:rPr>
          <w:rFonts w:hint="default" w:ascii="Times New Roman" w:hAnsi="Times New Roman" w:eastAsia="仿宋" w:cs="Times New Roman"/>
          <w:sz w:val="32"/>
          <w:szCs w:val="32"/>
        </w:rPr>
        <w:t>医疗器械临床试验</w:t>
      </w:r>
      <w:r>
        <w:rPr>
          <w:rFonts w:hint="default" w:ascii="Times New Roman" w:hAnsi="Times New Roman" w:eastAsia="仿宋" w:cs="Times New Roman"/>
          <w:sz w:val="32"/>
          <w:szCs w:val="32"/>
          <w:lang w:eastAsia="zh-CN"/>
        </w:rPr>
        <w:t>的全过程</w:t>
      </w:r>
      <w:r>
        <w:rPr>
          <w:rFonts w:hint="default" w:ascii="Times New Roman" w:hAnsi="Times New Roman" w:eastAsia="仿宋" w:cs="Times New Roman"/>
          <w:sz w:val="32"/>
          <w:szCs w:val="32"/>
        </w:rPr>
        <w:t>。</w:t>
      </w:r>
      <w:r>
        <w:rPr>
          <w:rFonts w:hint="default" w:ascii="Times New Roman" w:hAnsi="Times New Roman" w:eastAsia="仿宋" w:cs="Times New Roman"/>
          <w:b w:val="0"/>
          <w:sz w:val="32"/>
          <w:szCs w:val="32"/>
        </w:rPr>
        <w:t>二是强化</w:t>
      </w:r>
      <w:r>
        <w:rPr>
          <w:rFonts w:hint="default" w:ascii="Times New Roman" w:hAnsi="Times New Roman" w:eastAsia="仿宋" w:cs="Times New Roman"/>
          <w:sz w:val="32"/>
          <w:szCs w:val="32"/>
        </w:rPr>
        <w:t>医疗器械临床试验机构和研究者职责。</w:t>
      </w:r>
      <w:r>
        <w:rPr>
          <w:rFonts w:hint="default" w:ascii="Times New Roman" w:hAnsi="Times New Roman" w:eastAsia="仿宋" w:cs="Times New Roman"/>
          <w:b w:val="0"/>
          <w:sz w:val="32"/>
          <w:szCs w:val="32"/>
        </w:rPr>
        <w:t>三是</w:t>
      </w:r>
      <w:r>
        <w:rPr>
          <w:rFonts w:hint="default" w:ascii="Times New Roman" w:hAnsi="Times New Roman" w:eastAsia="仿宋" w:cs="Times New Roman"/>
          <w:sz w:val="32"/>
          <w:szCs w:val="32"/>
        </w:rPr>
        <w:t>明确监督管理部门监管职责。</w:t>
      </w:r>
    </w:p>
    <w:p>
      <w:pPr>
        <w:ind w:firstLine="640" w:firstLineChars="200"/>
        <w:rPr>
          <w:rFonts w:ascii="Times New Roman" w:hAnsi="Times New Roman" w:eastAsia="楷体" w:cs="Times New Roman"/>
          <w:sz w:val="32"/>
          <w:szCs w:val="32"/>
        </w:rPr>
      </w:pPr>
      <w:r>
        <w:rPr>
          <w:rFonts w:hint="default" w:ascii="Times New Roman" w:hAnsi="Times New Roman" w:eastAsia="楷体" w:cs="Times New Roman"/>
          <w:sz w:val="32"/>
          <w:szCs w:val="32"/>
        </w:rPr>
        <w:t>（四）</w:t>
      </w:r>
      <w:r>
        <w:rPr>
          <w:rFonts w:hint="default" w:ascii="Times New Roman" w:hAnsi="Times New Roman" w:eastAsia="楷体" w:cs="Times New Roman"/>
          <w:sz w:val="32"/>
          <w:szCs w:val="32"/>
          <w:lang w:eastAsia="zh-CN"/>
        </w:rPr>
        <w:t>调整</w:t>
      </w:r>
      <w:r>
        <w:rPr>
          <w:rFonts w:hint="default" w:ascii="Times New Roman" w:hAnsi="Times New Roman" w:eastAsia="楷体" w:cs="Times New Roman"/>
          <w:sz w:val="32"/>
          <w:szCs w:val="32"/>
        </w:rPr>
        <w:t>安全性信息报告流程</w:t>
      </w:r>
    </w:p>
    <w:p>
      <w:pPr>
        <w:ind w:firstLine="640" w:firstLineChars="200"/>
        <w:rPr>
          <w:rFonts w:hint="default" w:ascii="Times New Roman" w:hAnsi="Times New Roman" w:eastAsia="楷体" w:cs="Times New Roman"/>
          <w:sz w:val="32"/>
          <w:szCs w:val="32"/>
        </w:rPr>
      </w:pPr>
      <w:r>
        <w:rPr>
          <w:rFonts w:hint="default" w:ascii="Times New Roman" w:hAnsi="Times New Roman" w:eastAsia="仿宋" w:cs="Times New Roman"/>
          <w:sz w:val="32"/>
          <w:szCs w:val="32"/>
          <w:lang w:eastAsia="zh-CN"/>
        </w:rPr>
        <w:t>《规范》对安全性信息报告流程进行了优化调整。</w:t>
      </w:r>
      <w:r>
        <w:rPr>
          <w:rFonts w:hint="default" w:ascii="Times New Roman" w:hAnsi="Times New Roman" w:eastAsia="仿宋" w:cs="Times New Roman"/>
          <w:b w:val="0"/>
          <w:sz w:val="32"/>
          <w:szCs w:val="32"/>
        </w:rPr>
        <w:t>一是</w:t>
      </w:r>
      <w:r>
        <w:rPr>
          <w:rFonts w:hint="default" w:ascii="Times New Roman" w:hAnsi="Times New Roman" w:eastAsia="仿宋" w:cs="Times New Roman"/>
          <w:sz w:val="32"/>
          <w:szCs w:val="32"/>
        </w:rPr>
        <w:t>改“双报告”为“单报告”。由申办者</w:t>
      </w:r>
      <w:r>
        <w:rPr>
          <w:rFonts w:hint="default" w:ascii="Times New Roman" w:hAnsi="Times New Roman" w:eastAsia="仿宋" w:cs="Times New Roman"/>
          <w:sz w:val="32"/>
          <w:szCs w:val="32"/>
          <w:lang w:eastAsia="zh-CN"/>
        </w:rPr>
        <w:t>向</w:t>
      </w:r>
      <w:r>
        <w:rPr>
          <w:rFonts w:hint="default" w:ascii="Times New Roman" w:hAnsi="Times New Roman" w:eastAsia="仿宋" w:cs="Times New Roman"/>
          <w:sz w:val="32"/>
          <w:szCs w:val="32"/>
        </w:rPr>
        <w:t>所在地省级药品监督管理部门、医疗器械临床试验机构所在地省级药品监督管理部门和卫生健康管理部门</w:t>
      </w:r>
      <w:r>
        <w:rPr>
          <w:rFonts w:hint="default" w:ascii="Times New Roman" w:hAnsi="Times New Roman" w:eastAsia="仿宋" w:cs="Times New Roman"/>
          <w:sz w:val="32"/>
          <w:szCs w:val="32"/>
          <w:lang w:eastAsia="zh-CN"/>
        </w:rPr>
        <w:t>报告</w:t>
      </w:r>
      <w:r>
        <w:rPr>
          <w:rFonts w:hint="default" w:ascii="Times New Roman" w:hAnsi="Times New Roman" w:eastAsia="仿宋" w:cs="Times New Roman"/>
          <w:sz w:val="32"/>
          <w:szCs w:val="32"/>
        </w:rPr>
        <w:t>。</w:t>
      </w:r>
      <w:r>
        <w:rPr>
          <w:rFonts w:hint="default" w:ascii="Times New Roman" w:hAnsi="Times New Roman" w:eastAsia="仿宋" w:cs="Times New Roman"/>
          <w:b w:val="0"/>
          <w:sz w:val="32"/>
          <w:szCs w:val="32"/>
        </w:rPr>
        <w:t>二是</w:t>
      </w:r>
      <w:r>
        <w:rPr>
          <w:rFonts w:hint="default" w:ascii="Times New Roman" w:hAnsi="Times New Roman" w:eastAsia="仿宋" w:cs="Times New Roman"/>
          <w:sz w:val="32"/>
          <w:szCs w:val="32"/>
        </w:rPr>
        <w:t>将报告范围确定为试验医疗器械</w:t>
      </w:r>
      <w:r>
        <w:rPr>
          <w:rFonts w:hint="default" w:ascii="Times New Roman" w:hAnsi="Times New Roman" w:eastAsia="仿宋" w:cs="Times New Roman"/>
          <w:b w:val="0"/>
          <w:sz w:val="32"/>
          <w:szCs w:val="32"/>
        </w:rPr>
        <w:t>相关</w:t>
      </w:r>
      <w:r>
        <w:rPr>
          <w:rFonts w:hint="default" w:ascii="Times New Roman" w:hAnsi="Times New Roman" w:eastAsia="仿宋" w:cs="Times New Roman"/>
          <w:sz w:val="32"/>
          <w:szCs w:val="32"/>
        </w:rPr>
        <w:t>的严重不良事件。</w:t>
      </w:r>
      <w:r>
        <w:rPr>
          <w:rFonts w:hint="default" w:ascii="Times New Roman" w:hAnsi="Times New Roman" w:eastAsia="仿宋" w:cs="Times New Roman"/>
          <w:b w:val="0"/>
          <w:sz w:val="32"/>
          <w:szCs w:val="32"/>
        </w:rPr>
        <w:t>三是</w:t>
      </w:r>
      <w:r>
        <w:rPr>
          <w:rFonts w:hint="default" w:ascii="Times New Roman" w:hAnsi="Times New Roman" w:eastAsia="仿宋" w:cs="Times New Roman"/>
          <w:sz w:val="32"/>
          <w:szCs w:val="32"/>
          <w:lang w:eastAsia="zh-CN"/>
        </w:rPr>
        <w:t>要求</w:t>
      </w:r>
      <w:r>
        <w:rPr>
          <w:rFonts w:hint="default" w:ascii="Times New Roman" w:hAnsi="Times New Roman" w:eastAsia="仿宋" w:cs="Times New Roman"/>
          <w:sz w:val="32"/>
          <w:szCs w:val="32"/>
        </w:rPr>
        <w:t>死亡或者危及生命的报告时限为申办者获知后的</w:t>
      </w:r>
      <w:r>
        <w:rPr>
          <w:rFonts w:ascii="Times New Roman" w:hAnsi="Times New Roman" w:eastAsia="仿宋" w:cs="Times New Roman"/>
          <w:sz w:val="32"/>
          <w:szCs w:val="32"/>
        </w:rPr>
        <w:t>7天内，非死亡或者危及生命</w:t>
      </w:r>
      <w:r>
        <w:rPr>
          <w:rFonts w:hint="default" w:ascii="Times New Roman" w:hAnsi="Times New Roman" w:eastAsia="仿宋" w:cs="Times New Roman"/>
          <w:sz w:val="32"/>
          <w:szCs w:val="32"/>
        </w:rPr>
        <w:t>以及其他潜在的严重安全性风险</w:t>
      </w:r>
      <w:r>
        <w:rPr>
          <w:rFonts w:ascii="Times New Roman" w:hAnsi="Times New Roman" w:eastAsia="仿宋" w:cs="Times New Roman"/>
          <w:sz w:val="32"/>
          <w:szCs w:val="32"/>
        </w:rPr>
        <w:t>报告时限为申办者</w:t>
      </w:r>
      <w:r>
        <w:rPr>
          <w:rFonts w:hint="default" w:ascii="Times New Roman" w:hAnsi="Times New Roman" w:eastAsia="仿宋" w:cs="Times New Roman"/>
          <w:sz w:val="32"/>
          <w:szCs w:val="32"/>
        </w:rPr>
        <w:t>获知后的</w:t>
      </w:r>
      <w:r>
        <w:rPr>
          <w:rFonts w:hint="default" w:ascii="Times New Roman" w:hAnsi="Times New Roman" w:eastAsia="仿宋" w:cs="Times New Roman"/>
          <w:sz w:val="32"/>
          <w:szCs w:val="32"/>
          <w:lang w:val="en-US" w:eastAsia="zh-CN"/>
        </w:rPr>
        <w:t>15</w:t>
      </w:r>
      <w:r>
        <w:rPr>
          <w:rFonts w:hint="default" w:ascii="Times New Roman" w:hAnsi="Times New Roman" w:eastAsia="仿宋" w:cs="Times New Roman"/>
          <w:sz w:val="32"/>
          <w:szCs w:val="32"/>
        </w:rPr>
        <w:t>天内。</w:t>
      </w:r>
    </w:p>
    <w:p>
      <w:pPr>
        <w:ind w:firstLine="640" w:firstLineChars="200"/>
        <w:rPr>
          <w:rFonts w:ascii="Times New Roman" w:hAnsi="Times New Roman" w:eastAsia="楷体" w:cs="Times New Roman"/>
          <w:sz w:val="32"/>
          <w:szCs w:val="32"/>
        </w:rPr>
      </w:pPr>
      <w:r>
        <w:rPr>
          <w:rFonts w:hint="default" w:ascii="Times New Roman" w:hAnsi="Times New Roman" w:eastAsia="楷体" w:cs="Times New Roman"/>
          <w:sz w:val="32"/>
          <w:szCs w:val="32"/>
        </w:rPr>
        <w:t>（五）简化优化相关要求</w:t>
      </w:r>
    </w:p>
    <w:p>
      <w:pPr>
        <w:ind w:firstLine="646" w:firstLineChars="202"/>
        <w:rPr>
          <w:rFonts w:ascii="Times New Roman" w:hAnsi="Times New Roman" w:eastAsia="仿宋" w:cs="Times New Roman"/>
          <w:sz w:val="32"/>
          <w:szCs w:val="32"/>
        </w:rPr>
      </w:pPr>
      <w:r>
        <w:rPr>
          <w:rFonts w:hint="default" w:ascii="Times New Roman" w:hAnsi="Times New Roman" w:eastAsia="仿宋" w:cs="Times New Roman"/>
          <w:sz w:val="32"/>
          <w:szCs w:val="32"/>
        </w:rPr>
        <w:t>《规范》结合产业需求和监管实际，切实解决当前反映较为集中的问题。删除了“医疗器械临床试验应当在两个或者两个以上医疗器械临床试验机构中进行”的要求，解决了部分医疗器械</w:t>
      </w:r>
      <w:r>
        <w:rPr>
          <w:rFonts w:ascii="Times New Roman" w:hAnsi="Times New Roman" w:eastAsia="仿宋" w:cs="Times New Roman"/>
          <w:sz w:val="32"/>
          <w:szCs w:val="32"/>
        </w:rPr>
        <w:t>难以且无需在两家临床试验机构开展临床试验的问题。</w:t>
      </w:r>
      <w:r>
        <w:rPr>
          <w:rFonts w:hint="default" w:ascii="Times New Roman" w:hAnsi="Times New Roman" w:eastAsia="仿宋" w:cs="Times New Roman"/>
          <w:sz w:val="32"/>
          <w:szCs w:val="32"/>
        </w:rPr>
        <w:t>取消了检验报告</w:t>
      </w:r>
      <w:r>
        <w:rPr>
          <w:rFonts w:ascii="Times New Roman" w:hAnsi="Times New Roman" w:eastAsia="仿宋" w:cs="Times New Roman"/>
          <w:sz w:val="32"/>
          <w:szCs w:val="32"/>
        </w:rPr>
        <w:t>1年有效期的要求</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有利于临床试验的顺利开展</w:t>
      </w:r>
      <w:r>
        <w:rPr>
          <w:rFonts w:hint="default" w:ascii="Times New Roman" w:hAnsi="Times New Roman" w:eastAsia="仿宋" w:cs="Times New Roman"/>
          <w:sz w:val="32"/>
          <w:szCs w:val="32"/>
        </w:rPr>
        <w:t>。</w:t>
      </w:r>
    </w:p>
    <w:p>
      <w:pPr>
        <w:ind w:firstLine="640" w:firstLineChars="200"/>
        <w:rPr>
          <w:rFonts w:ascii="Times New Roman" w:hAnsi="Times New Roman" w:eastAsia="楷体" w:cs="Times New Roman"/>
          <w:sz w:val="32"/>
          <w:szCs w:val="32"/>
        </w:rPr>
      </w:pPr>
      <w:r>
        <w:rPr>
          <w:rFonts w:hint="default" w:ascii="Times New Roman" w:hAnsi="Times New Roman" w:eastAsia="楷体" w:cs="Times New Roman"/>
          <w:sz w:val="32"/>
          <w:szCs w:val="32"/>
        </w:rPr>
        <w:t>（六）体现</w:t>
      </w:r>
      <w:r>
        <w:rPr>
          <w:rFonts w:ascii="Times New Roman" w:hAnsi="Times New Roman" w:eastAsia="楷体" w:cs="Times New Roman"/>
          <w:sz w:val="32"/>
          <w:szCs w:val="32"/>
        </w:rPr>
        <w:t>最新国际</w:t>
      </w:r>
      <w:r>
        <w:rPr>
          <w:rFonts w:hint="default" w:ascii="Times New Roman" w:hAnsi="Times New Roman" w:eastAsia="楷体" w:cs="Times New Roman"/>
          <w:sz w:val="32"/>
          <w:szCs w:val="32"/>
        </w:rPr>
        <w:t>监管制度要求</w:t>
      </w:r>
    </w:p>
    <w:p>
      <w:pPr>
        <w:ind w:firstLine="640" w:firstLineChars="200"/>
        <w:rPr>
          <w:rFonts w:ascii="Times New Roman" w:hAnsi="Times New Roman" w:eastAsia="仿宋" w:cs="Times New Roman"/>
          <w:sz w:val="32"/>
          <w:szCs w:val="32"/>
        </w:rPr>
      </w:pPr>
      <w:r>
        <w:rPr>
          <w:rFonts w:hint="default" w:ascii="Times New Roman" w:hAnsi="Times New Roman" w:eastAsia="仿宋" w:cs="Times New Roman"/>
          <w:sz w:val="32"/>
          <w:szCs w:val="32"/>
        </w:rPr>
        <w:t>《规范》落实中国牵头制定的国际协调文件相关内容。如吸收</w:t>
      </w:r>
      <w:r>
        <w:rPr>
          <w:rFonts w:ascii="Times New Roman" w:hAnsi="Times New Roman" w:eastAsia="仿宋" w:cs="Times New Roman"/>
          <w:sz w:val="32"/>
          <w:szCs w:val="32"/>
        </w:rPr>
        <w:t>IMDRF MDCE WG/N57 FINAL:2019《临床试验》</w:t>
      </w:r>
      <w:r>
        <w:rPr>
          <w:rFonts w:hint="default" w:ascii="Times New Roman" w:hAnsi="Times New Roman" w:eastAsia="仿宋" w:cs="Times New Roman"/>
          <w:sz w:val="32"/>
          <w:szCs w:val="32"/>
        </w:rPr>
        <w:t>内容</w:t>
      </w:r>
      <w:r>
        <w:rPr>
          <w:rFonts w:ascii="Times New Roman" w:hAnsi="Times New Roman" w:eastAsia="仿宋" w:cs="Times New Roman"/>
          <w:sz w:val="32"/>
          <w:szCs w:val="32"/>
        </w:rPr>
        <w:t>，引入</w:t>
      </w:r>
      <w:r>
        <w:rPr>
          <w:rFonts w:hint="default" w:ascii="Times New Roman" w:hAnsi="Times New Roman" w:eastAsia="仿宋" w:cs="Times New Roman"/>
          <w:sz w:val="32"/>
          <w:szCs w:val="32"/>
        </w:rPr>
        <w:t>在不同国家或者地区开展的</w:t>
      </w:r>
      <w:r>
        <w:rPr>
          <w:rFonts w:ascii="Times New Roman" w:hAnsi="Times New Roman" w:eastAsia="仿宋" w:cs="Times New Roman"/>
          <w:sz w:val="32"/>
          <w:szCs w:val="32"/>
        </w:rPr>
        <w:t>多区域临床试验的概念，有利于全球创新产品同步在中国开展</w:t>
      </w:r>
      <w:r>
        <w:rPr>
          <w:rFonts w:hint="default" w:ascii="Times New Roman" w:hAnsi="Times New Roman" w:eastAsia="仿宋" w:cs="Times New Roman"/>
          <w:sz w:val="32"/>
          <w:szCs w:val="32"/>
        </w:rPr>
        <w:t>医疗器械</w:t>
      </w:r>
      <w:r>
        <w:rPr>
          <w:rFonts w:ascii="Times New Roman" w:hAnsi="Times New Roman" w:eastAsia="仿宋" w:cs="Times New Roman"/>
          <w:sz w:val="32"/>
          <w:szCs w:val="32"/>
        </w:rPr>
        <w:t>临床试验。</w:t>
      </w:r>
      <w:r>
        <w:rPr>
          <w:rFonts w:hint="default" w:ascii="Times New Roman" w:hAnsi="Times New Roman" w:eastAsia="仿宋" w:cs="Times New Roman"/>
          <w:sz w:val="32"/>
          <w:szCs w:val="32"/>
        </w:rPr>
        <w:t>修订过程中充分参考了</w:t>
      </w:r>
      <w:r>
        <w:rPr>
          <w:rFonts w:ascii="Times New Roman" w:hAnsi="Times New Roman" w:eastAsia="仿宋" w:cs="Times New Roman"/>
          <w:sz w:val="32"/>
          <w:szCs w:val="32"/>
        </w:rPr>
        <w:t>ISO 14155:2020</w:t>
      </w:r>
      <w:r>
        <w:rPr>
          <w:rFonts w:hint="default" w:ascii="Times New Roman" w:hAnsi="Times New Roman" w:eastAsia="仿宋" w:cs="Times New Roman"/>
          <w:sz w:val="32"/>
          <w:szCs w:val="32"/>
        </w:rPr>
        <w:t>的相关内容，在正文</w:t>
      </w:r>
      <w:r>
        <w:rPr>
          <w:rFonts w:hint="default" w:ascii="Times New Roman" w:hAnsi="Times New Roman" w:eastAsia="仿宋" w:cs="Times New Roman"/>
          <w:sz w:val="32"/>
          <w:szCs w:val="32"/>
          <w:lang w:eastAsia="zh-CN"/>
        </w:rPr>
        <w:t>和</w:t>
      </w:r>
      <w:r>
        <w:rPr>
          <w:rFonts w:hint="default" w:ascii="Times New Roman" w:hAnsi="Times New Roman" w:eastAsia="仿宋" w:cs="Times New Roman"/>
          <w:sz w:val="32"/>
          <w:szCs w:val="32"/>
        </w:rPr>
        <w:t>术语多处体现了国际标准最新版本内容。</w:t>
      </w:r>
    </w:p>
    <w:p>
      <w:pPr>
        <w:ind w:firstLine="640" w:firstLineChars="200"/>
        <w:rPr>
          <w:rFonts w:ascii="仿宋" w:hAnsi="仿宋" w:eastAsia="仿宋" w:cs="仿宋"/>
          <w:sz w:val="32"/>
          <w:szCs w:val="32"/>
        </w:rPr>
      </w:pPr>
    </w:p>
    <w:p>
      <w:pPr>
        <w:rPr>
          <w:rFonts w:ascii="仿宋" w:hAnsi="仿宋" w:eastAsia="仿宋" w:cs="仿宋"/>
          <w:sz w:val="32"/>
          <w:szCs w:val="32"/>
        </w:rPr>
      </w:pPr>
    </w:p>
    <w:sectPr>
      <w:footerReference r:id="rId3" w:type="default"/>
      <w:pgSz w:w="11906" w:h="16838"/>
      <w:pgMar w:top="2098" w:right="1474" w:bottom="1985" w:left="1588" w:header="1417" w:footer="1020" w:gutter="0"/>
      <w:cols w:space="425" w:num="1"/>
      <w:docGrid w:type="lines" w:linePitch="579"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仿宋"/>
    <w:panose1 w:val="00000000000000000000"/>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仿宋" w:hAnsi="仿宋" w:eastAsia="仿宋"/>
        <w:sz w:val="32"/>
        <w:szCs w:val="32"/>
      </w:rPr>
    </w:pPr>
    <w:r>
      <w:rPr>
        <w:rFonts w:hint="eastAsia" w:ascii="仿宋" w:hAnsi="仿宋" w:eastAsia="仿宋"/>
        <w:sz w:val="21"/>
        <w:szCs w:val="21"/>
      </w:rPr>
      <w:t>—</w:t>
    </w:r>
    <w:sdt>
      <w:sdtPr>
        <w:rPr>
          <w:rFonts w:ascii="仿宋" w:hAnsi="仿宋" w:eastAsia="仿宋"/>
          <w:sz w:val="21"/>
          <w:szCs w:val="21"/>
        </w:rPr>
        <w:id w:val="839581567"/>
      </w:sdtPr>
      <w:sdtEndPr>
        <w:rPr>
          <w:rFonts w:ascii="仿宋" w:hAnsi="仿宋" w:eastAsia="仿宋"/>
          <w:sz w:val="32"/>
          <w:szCs w:val="32"/>
        </w:rPr>
      </w:sdtEndPr>
      <w:sdtContent>
        <w:r>
          <w:rPr>
            <w:rFonts w:ascii="仿宋" w:hAnsi="仿宋" w:eastAsia="仿宋"/>
            <w:sz w:val="21"/>
            <w:szCs w:val="21"/>
          </w:rPr>
          <w:fldChar w:fldCharType="begin"/>
        </w:r>
        <w:r>
          <w:rPr>
            <w:rFonts w:ascii="仿宋" w:hAnsi="仿宋" w:eastAsia="仿宋"/>
            <w:sz w:val="21"/>
            <w:szCs w:val="21"/>
          </w:rPr>
          <w:instrText xml:space="preserve">PAGE   \* MERGEFORMAT</w:instrText>
        </w:r>
        <w:r>
          <w:rPr>
            <w:rFonts w:ascii="仿宋" w:hAnsi="仿宋" w:eastAsia="仿宋"/>
            <w:sz w:val="21"/>
            <w:szCs w:val="21"/>
          </w:rPr>
          <w:fldChar w:fldCharType="separate"/>
        </w:r>
        <w:r>
          <w:rPr>
            <w:rFonts w:ascii="仿宋" w:hAnsi="仿宋" w:eastAsia="仿宋"/>
            <w:sz w:val="21"/>
            <w:szCs w:val="21"/>
            <w:lang w:val="zh-CN"/>
          </w:rPr>
          <w:t>10</w:t>
        </w:r>
        <w:r>
          <w:rPr>
            <w:rFonts w:ascii="仿宋" w:hAnsi="仿宋" w:eastAsia="仿宋"/>
            <w:sz w:val="21"/>
            <w:szCs w:val="21"/>
          </w:rPr>
          <w:fldChar w:fldCharType="end"/>
        </w:r>
        <w:r>
          <w:rPr>
            <w:rFonts w:hint="eastAsia" w:ascii="仿宋" w:hAnsi="仿宋" w:eastAsia="仿宋"/>
            <w:sz w:val="21"/>
            <w:szCs w:val="21"/>
          </w:rPr>
          <w:t>—</w:t>
        </w:r>
      </w:sdtContent>
    </w:sdt>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drawingGridHorizontalSpacing w:val="21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F9B"/>
    <w:rsid w:val="00001115"/>
    <w:rsid w:val="00030B70"/>
    <w:rsid w:val="00030EE2"/>
    <w:rsid w:val="00033859"/>
    <w:rsid w:val="00034BCD"/>
    <w:rsid w:val="00035957"/>
    <w:rsid w:val="00043ED9"/>
    <w:rsid w:val="0005447C"/>
    <w:rsid w:val="00062060"/>
    <w:rsid w:val="0007479B"/>
    <w:rsid w:val="00082B15"/>
    <w:rsid w:val="00090F56"/>
    <w:rsid w:val="00097724"/>
    <w:rsid w:val="000A3930"/>
    <w:rsid w:val="000B7A88"/>
    <w:rsid w:val="000C2EE1"/>
    <w:rsid w:val="000C53DA"/>
    <w:rsid w:val="000F144A"/>
    <w:rsid w:val="00116898"/>
    <w:rsid w:val="00117F11"/>
    <w:rsid w:val="001207DB"/>
    <w:rsid w:val="001302C7"/>
    <w:rsid w:val="001314C3"/>
    <w:rsid w:val="00132DDB"/>
    <w:rsid w:val="001365F5"/>
    <w:rsid w:val="00141272"/>
    <w:rsid w:val="001561D7"/>
    <w:rsid w:val="00174AD8"/>
    <w:rsid w:val="001A3B47"/>
    <w:rsid w:val="001A46AE"/>
    <w:rsid w:val="001C65B3"/>
    <w:rsid w:val="001D63B3"/>
    <w:rsid w:val="001E12C1"/>
    <w:rsid w:val="001E7BE3"/>
    <w:rsid w:val="001E7D0A"/>
    <w:rsid w:val="001F1622"/>
    <w:rsid w:val="001F308F"/>
    <w:rsid w:val="001F752C"/>
    <w:rsid w:val="00213577"/>
    <w:rsid w:val="002135A9"/>
    <w:rsid w:val="00225A4C"/>
    <w:rsid w:val="00243E40"/>
    <w:rsid w:val="002547F0"/>
    <w:rsid w:val="00274625"/>
    <w:rsid w:val="00276D5A"/>
    <w:rsid w:val="00285623"/>
    <w:rsid w:val="002A6E32"/>
    <w:rsid w:val="002A6F4F"/>
    <w:rsid w:val="002B7493"/>
    <w:rsid w:val="002C64AB"/>
    <w:rsid w:val="002D0874"/>
    <w:rsid w:val="002D2A27"/>
    <w:rsid w:val="002E39A2"/>
    <w:rsid w:val="002F19C5"/>
    <w:rsid w:val="002F41F2"/>
    <w:rsid w:val="003051C2"/>
    <w:rsid w:val="003336F2"/>
    <w:rsid w:val="00335A26"/>
    <w:rsid w:val="00350229"/>
    <w:rsid w:val="003556F7"/>
    <w:rsid w:val="00361A99"/>
    <w:rsid w:val="00363603"/>
    <w:rsid w:val="00371B0E"/>
    <w:rsid w:val="003B1CEC"/>
    <w:rsid w:val="003E7F50"/>
    <w:rsid w:val="003F6412"/>
    <w:rsid w:val="004117AB"/>
    <w:rsid w:val="004172C7"/>
    <w:rsid w:val="00417CF6"/>
    <w:rsid w:val="00425989"/>
    <w:rsid w:val="00445B7B"/>
    <w:rsid w:val="0044685E"/>
    <w:rsid w:val="00462486"/>
    <w:rsid w:val="00483D10"/>
    <w:rsid w:val="004C5A9C"/>
    <w:rsid w:val="005001F8"/>
    <w:rsid w:val="005126A1"/>
    <w:rsid w:val="005155FF"/>
    <w:rsid w:val="00520387"/>
    <w:rsid w:val="00530BC1"/>
    <w:rsid w:val="0053377D"/>
    <w:rsid w:val="00535ED8"/>
    <w:rsid w:val="0055142E"/>
    <w:rsid w:val="00570A23"/>
    <w:rsid w:val="005907D7"/>
    <w:rsid w:val="005A4D89"/>
    <w:rsid w:val="005B2D02"/>
    <w:rsid w:val="005C38E0"/>
    <w:rsid w:val="005D2FAF"/>
    <w:rsid w:val="005F5853"/>
    <w:rsid w:val="006004AD"/>
    <w:rsid w:val="00620FE3"/>
    <w:rsid w:val="006224C4"/>
    <w:rsid w:val="006272B7"/>
    <w:rsid w:val="00653F9B"/>
    <w:rsid w:val="00675716"/>
    <w:rsid w:val="0069516A"/>
    <w:rsid w:val="006B019E"/>
    <w:rsid w:val="006B264E"/>
    <w:rsid w:val="006C619A"/>
    <w:rsid w:val="006D093E"/>
    <w:rsid w:val="006D33D0"/>
    <w:rsid w:val="00707918"/>
    <w:rsid w:val="00714C0C"/>
    <w:rsid w:val="0071606F"/>
    <w:rsid w:val="00721656"/>
    <w:rsid w:val="00727450"/>
    <w:rsid w:val="00733B3B"/>
    <w:rsid w:val="0074544C"/>
    <w:rsid w:val="00761F2A"/>
    <w:rsid w:val="007730F5"/>
    <w:rsid w:val="00773B6F"/>
    <w:rsid w:val="00786D88"/>
    <w:rsid w:val="007A014F"/>
    <w:rsid w:val="007A149D"/>
    <w:rsid w:val="007C2943"/>
    <w:rsid w:val="007C674F"/>
    <w:rsid w:val="007F4D05"/>
    <w:rsid w:val="007F74F5"/>
    <w:rsid w:val="00813B9A"/>
    <w:rsid w:val="008160BB"/>
    <w:rsid w:val="00822EC9"/>
    <w:rsid w:val="008252A7"/>
    <w:rsid w:val="008376DA"/>
    <w:rsid w:val="00847635"/>
    <w:rsid w:val="0085207D"/>
    <w:rsid w:val="00862185"/>
    <w:rsid w:val="00864E87"/>
    <w:rsid w:val="008769DE"/>
    <w:rsid w:val="00884758"/>
    <w:rsid w:val="00897451"/>
    <w:rsid w:val="008A01B1"/>
    <w:rsid w:val="008C1C81"/>
    <w:rsid w:val="008C40F4"/>
    <w:rsid w:val="008C6D84"/>
    <w:rsid w:val="008D44A4"/>
    <w:rsid w:val="008D764A"/>
    <w:rsid w:val="008E18F4"/>
    <w:rsid w:val="008F13E3"/>
    <w:rsid w:val="00901483"/>
    <w:rsid w:val="00912557"/>
    <w:rsid w:val="00930073"/>
    <w:rsid w:val="00956D7A"/>
    <w:rsid w:val="009626F7"/>
    <w:rsid w:val="00964958"/>
    <w:rsid w:val="009758DD"/>
    <w:rsid w:val="0099188A"/>
    <w:rsid w:val="00994B61"/>
    <w:rsid w:val="0099526A"/>
    <w:rsid w:val="009958B0"/>
    <w:rsid w:val="009A3CC2"/>
    <w:rsid w:val="009A6D69"/>
    <w:rsid w:val="009A75F7"/>
    <w:rsid w:val="009B20FD"/>
    <w:rsid w:val="009C1A65"/>
    <w:rsid w:val="009C6C83"/>
    <w:rsid w:val="009D0609"/>
    <w:rsid w:val="009E69DF"/>
    <w:rsid w:val="009F5F97"/>
    <w:rsid w:val="009F5F9D"/>
    <w:rsid w:val="009F6A2A"/>
    <w:rsid w:val="00A024F6"/>
    <w:rsid w:val="00A11BC7"/>
    <w:rsid w:val="00A3387E"/>
    <w:rsid w:val="00A53308"/>
    <w:rsid w:val="00A65A7B"/>
    <w:rsid w:val="00A72A6B"/>
    <w:rsid w:val="00A83CD3"/>
    <w:rsid w:val="00A86246"/>
    <w:rsid w:val="00A90609"/>
    <w:rsid w:val="00AA7625"/>
    <w:rsid w:val="00B20314"/>
    <w:rsid w:val="00B217C8"/>
    <w:rsid w:val="00B327AE"/>
    <w:rsid w:val="00B550B3"/>
    <w:rsid w:val="00B67817"/>
    <w:rsid w:val="00B962BC"/>
    <w:rsid w:val="00BA4EFF"/>
    <w:rsid w:val="00BC2A05"/>
    <w:rsid w:val="00BE0A68"/>
    <w:rsid w:val="00BF3B0C"/>
    <w:rsid w:val="00C132D8"/>
    <w:rsid w:val="00C4618D"/>
    <w:rsid w:val="00C5585F"/>
    <w:rsid w:val="00C745DF"/>
    <w:rsid w:val="00C8629B"/>
    <w:rsid w:val="00CC682D"/>
    <w:rsid w:val="00CF5CA5"/>
    <w:rsid w:val="00D10334"/>
    <w:rsid w:val="00D14260"/>
    <w:rsid w:val="00D168B7"/>
    <w:rsid w:val="00D51438"/>
    <w:rsid w:val="00D53C94"/>
    <w:rsid w:val="00D612BB"/>
    <w:rsid w:val="00D83CCB"/>
    <w:rsid w:val="00D84A8E"/>
    <w:rsid w:val="00D84DDC"/>
    <w:rsid w:val="00D934E7"/>
    <w:rsid w:val="00DA0F5F"/>
    <w:rsid w:val="00DA18CF"/>
    <w:rsid w:val="00DA4C16"/>
    <w:rsid w:val="00DC2DB6"/>
    <w:rsid w:val="00DE0774"/>
    <w:rsid w:val="00DE21FC"/>
    <w:rsid w:val="00DF34F0"/>
    <w:rsid w:val="00DF4DED"/>
    <w:rsid w:val="00E30A5E"/>
    <w:rsid w:val="00E64AC1"/>
    <w:rsid w:val="00E673C4"/>
    <w:rsid w:val="00E95615"/>
    <w:rsid w:val="00EA1A13"/>
    <w:rsid w:val="00ED0FCB"/>
    <w:rsid w:val="00ED7875"/>
    <w:rsid w:val="00EE1A08"/>
    <w:rsid w:val="00EE3326"/>
    <w:rsid w:val="00F06229"/>
    <w:rsid w:val="00F12DA4"/>
    <w:rsid w:val="00F16533"/>
    <w:rsid w:val="00F46FCD"/>
    <w:rsid w:val="00F73837"/>
    <w:rsid w:val="00F7746F"/>
    <w:rsid w:val="00F95503"/>
    <w:rsid w:val="00FA112F"/>
    <w:rsid w:val="00FB6430"/>
    <w:rsid w:val="00FC3863"/>
    <w:rsid w:val="00FD4212"/>
    <w:rsid w:val="00FF6841"/>
    <w:rsid w:val="0937F53E"/>
    <w:rsid w:val="3EFF8EF3"/>
    <w:rsid w:val="53BF3CE9"/>
    <w:rsid w:val="575F2E2E"/>
    <w:rsid w:val="57FE0A36"/>
    <w:rsid w:val="6EFF7690"/>
    <w:rsid w:val="7ADF5EF0"/>
    <w:rsid w:val="7B8B7958"/>
    <w:rsid w:val="99EFF107"/>
    <w:rsid w:val="B8BE9448"/>
    <w:rsid w:val="C3BF2FCD"/>
    <w:rsid w:val="FD9E4330"/>
    <w:rsid w:val="FDD2AABA"/>
    <w:rsid w:val="FDFF18EC"/>
    <w:rsid w:val="FFDF9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table" w:styleId="8">
    <w:name w:val="Table Grid"/>
    <w:basedOn w:val="7"/>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批注文字 Char"/>
    <w:basedOn w:val="9"/>
    <w:link w:val="2"/>
    <w:qFormat/>
    <w:uiPriority w:val="99"/>
  </w:style>
  <w:style w:type="character" w:customStyle="1" w:styleId="14">
    <w:name w:val="批注主题 Char"/>
    <w:basedOn w:val="13"/>
    <w:link w:val="6"/>
    <w:semiHidden/>
    <w:qFormat/>
    <w:uiPriority w:val="99"/>
    <w:rPr>
      <w:b/>
      <w:bCs/>
    </w:rPr>
  </w:style>
  <w:style w:type="character" w:customStyle="1" w:styleId="15">
    <w:name w:val="批注框文本 Char"/>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11</Pages>
  <Words>985</Words>
  <Characters>5616</Characters>
  <Lines>46</Lines>
  <Paragraphs>13</Paragraphs>
  <TotalTime>29</TotalTime>
  <ScaleCrop>false</ScaleCrop>
  <LinksUpToDate>false</LinksUpToDate>
  <CharactersWithSpaces>6588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2021-04-25T05:10:00Z</dcterms:created>
  <dc:creator>唐中岚</dc:creator>
  <cp:lastModifiedBy>wanggq</cp:lastModifiedBy>
  <cp:lastPrinted>2021-05-06T18:26:00Z</cp:lastPrinted>
  <dcterms:modified xsi:type="dcterms:W3CDTF">2021-05-10T09:44:42Z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