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83" w:rsidRPr="00B82C3B" w:rsidRDefault="004F5B83" w:rsidP="004F5B83">
      <w:pPr>
        <w:spacing w:line="572" w:lineRule="exact"/>
        <w:ind w:left="425" w:hanging="425"/>
        <w:jc w:val="left"/>
        <w:rPr>
          <w:rFonts w:ascii="Times New Roman" w:eastAsia="黑体" w:hAnsi="Times New Roman" w:cs="Times New Roman"/>
          <w:color w:val="000000" w:themeColor="text1"/>
          <w:sz w:val="32"/>
          <w:szCs w:val="32"/>
        </w:rPr>
      </w:pPr>
      <w:r w:rsidRPr="00B82C3B">
        <w:rPr>
          <w:rFonts w:ascii="Times New Roman" w:eastAsia="黑体" w:hAnsi="Times New Roman" w:cs="Times New Roman"/>
          <w:color w:val="000000" w:themeColor="text1"/>
          <w:sz w:val="32"/>
          <w:szCs w:val="32"/>
        </w:rPr>
        <w:t>附件</w:t>
      </w:r>
      <w:r w:rsidR="00157096">
        <w:rPr>
          <w:rFonts w:ascii="Times New Roman" w:eastAsia="黑体" w:hAnsi="Times New Roman" w:cs="Times New Roman" w:hint="eastAsia"/>
          <w:color w:val="000000" w:themeColor="text1"/>
          <w:sz w:val="32"/>
          <w:szCs w:val="32"/>
        </w:rPr>
        <w:t>2-4</w:t>
      </w:r>
      <w:bookmarkStart w:id="0" w:name="_GoBack"/>
      <w:bookmarkEnd w:id="0"/>
    </w:p>
    <w:p w:rsidR="004F5B83" w:rsidRPr="00B82C3B" w:rsidRDefault="004F5B83" w:rsidP="004F5B83">
      <w:pPr>
        <w:spacing w:line="572" w:lineRule="exact"/>
        <w:ind w:left="425" w:hanging="425"/>
        <w:jc w:val="left"/>
        <w:rPr>
          <w:rFonts w:ascii="Times New Roman" w:eastAsia="黑体" w:hAnsi="Times New Roman" w:cs="Times New Roman"/>
          <w:color w:val="000000" w:themeColor="text1"/>
          <w:sz w:val="32"/>
          <w:szCs w:val="32"/>
        </w:rPr>
      </w:pPr>
    </w:p>
    <w:p w:rsidR="002D2CB6" w:rsidRPr="00B82C3B" w:rsidRDefault="006A4CA4" w:rsidP="003D0330">
      <w:pPr>
        <w:spacing w:line="572" w:lineRule="exact"/>
        <w:ind w:left="425" w:hanging="425"/>
        <w:jc w:val="center"/>
        <w:rPr>
          <w:rFonts w:ascii="Times New Roman" w:eastAsia="方正小标宋简体" w:hAnsi="Times New Roman" w:cs="Times New Roman"/>
          <w:color w:val="000000" w:themeColor="text1"/>
          <w:sz w:val="44"/>
          <w:szCs w:val="44"/>
        </w:rPr>
      </w:pPr>
      <w:r w:rsidRPr="00B82C3B">
        <w:rPr>
          <w:rFonts w:ascii="Times New Roman" w:eastAsia="方正小标宋简体" w:hAnsi="Times New Roman" w:cs="Times New Roman"/>
          <w:color w:val="000000" w:themeColor="text1"/>
          <w:sz w:val="44"/>
          <w:szCs w:val="44"/>
        </w:rPr>
        <w:t>药品注册核查要点与判定原则</w:t>
      </w:r>
    </w:p>
    <w:p w:rsidR="00011B08" w:rsidRPr="00B82C3B" w:rsidRDefault="006A4CA4" w:rsidP="001B2923">
      <w:pPr>
        <w:spacing w:line="572" w:lineRule="exact"/>
        <w:ind w:left="425" w:hanging="425"/>
        <w:jc w:val="center"/>
        <w:rPr>
          <w:rFonts w:ascii="Times New Roman" w:eastAsia="方正小标宋简体" w:hAnsi="Times New Roman" w:cs="Times New Roman"/>
          <w:color w:val="000000" w:themeColor="text1"/>
          <w:sz w:val="44"/>
          <w:szCs w:val="44"/>
        </w:rPr>
      </w:pPr>
      <w:r w:rsidRPr="00B82C3B">
        <w:rPr>
          <w:rFonts w:ascii="Times New Roman" w:eastAsia="方正小标宋简体" w:hAnsi="Times New Roman" w:cs="Times New Roman"/>
          <w:color w:val="000000" w:themeColor="text1"/>
          <w:sz w:val="44"/>
          <w:szCs w:val="44"/>
        </w:rPr>
        <w:t>（药学研制和生产现场）</w:t>
      </w:r>
      <w:r w:rsidR="001B2923" w:rsidRPr="00B82C3B">
        <w:rPr>
          <w:rFonts w:ascii="Times New Roman" w:eastAsia="方正小标宋简体" w:hAnsi="Times New Roman" w:cs="Times New Roman"/>
          <w:color w:val="000000" w:themeColor="text1"/>
          <w:sz w:val="44"/>
          <w:szCs w:val="44"/>
        </w:rPr>
        <w:t>（</w:t>
      </w:r>
      <w:r w:rsidRPr="00B82C3B">
        <w:rPr>
          <w:rFonts w:ascii="Times New Roman" w:eastAsia="方正小标宋简体" w:hAnsi="Times New Roman" w:cs="Times New Roman"/>
          <w:color w:val="000000" w:themeColor="text1"/>
          <w:sz w:val="44"/>
          <w:szCs w:val="44"/>
        </w:rPr>
        <w:t>征求意见稿</w:t>
      </w:r>
      <w:r w:rsidR="001B2923" w:rsidRPr="00B82C3B">
        <w:rPr>
          <w:rFonts w:ascii="Times New Roman" w:eastAsia="方正小标宋简体" w:hAnsi="Times New Roman" w:cs="Times New Roman"/>
          <w:color w:val="000000" w:themeColor="text1"/>
          <w:sz w:val="44"/>
          <w:szCs w:val="44"/>
        </w:rPr>
        <w:t>）</w:t>
      </w:r>
    </w:p>
    <w:p w:rsidR="001B2923" w:rsidRPr="00B82C3B" w:rsidRDefault="001B2923" w:rsidP="003D0330">
      <w:pPr>
        <w:spacing w:line="572" w:lineRule="exact"/>
        <w:ind w:firstLineChars="200" w:firstLine="640"/>
        <w:rPr>
          <w:rFonts w:ascii="Times New Roman" w:eastAsia="仿宋_GB2312" w:hAnsi="Times New Roman" w:cs="Times New Roman"/>
          <w:color w:val="000000" w:themeColor="text1"/>
          <w:sz w:val="32"/>
          <w:szCs w:val="32"/>
        </w:rPr>
      </w:pP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为保证药品注册核查质量，统一核查范围和判定标准，根据《药品管理法》《药品注册管理办法》等法律法规及相关指导原则，特制定《药品注册核查要点与判定原则（药学研制和生产现场）》。</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本要点和原则根据药品注册核查的目标，阐明了药学研制、生产现场核查范围和项目，明确了现场核查的重点环节和关键要素，并确定了核查结果的判定依据和原则。药品注册核查结论需基于药品研制</w:t>
      </w:r>
      <w:r w:rsidR="00902EF0" w:rsidRPr="00B82C3B">
        <w:rPr>
          <w:rFonts w:ascii="Times New Roman" w:eastAsia="仿宋_GB2312" w:hAnsi="Times New Roman" w:cs="Times New Roman"/>
          <w:color w:val="000000" w:themeColor="text1"/>
          <w:sz w:val="32"/>
          <w:szCs w:val="32"/>
        </w:rPr>
        <w:t>现场和生产现场</w:t>
      </w:r>
      <w:r w:rsidRPr="00B82C3B">
        <w:rPr>
          <w:rFonts w:ascii="Times New Roman" w:eastAsia="仿宋_GB2312" w:hAnsi="Times New Roman" w:cs="Times New Roman"/>
          <w:color w:val="000000" w:themeColor="text1"/>
          <w:sz w:val="32"/>
          <w:szCs w:val="32"/>
        </w:rPr>
        <w:t>合</w:t>
      </w:r>
      <w:proofErr w:type="gramStart"/>
      <w:r w:rsidRPr="00B82C3B">
        <w:rPr>
          <w:rFonts w:ascii="Times New Roman" w:eastAsia="仿宋_GB2312" w:hAnsi="Times New Roman" w:cs="Times New Roman"/>
          <w:color w:val="000000" w:themeColor="text1"/>
          <w:sz w:val="32"/>
          <w:szCs w:val="32"/>
        </w:rPr>
        <w:t>规</w:t>
      </w:r>
      <w:proofErr w:type="gramEnd"/>
      <w:r w:rsidRPr="00B82C3B">
        <w:rPr>
          <w:rFonts w:ascii="Times New Roman" w:eastAsia="仿宋_GB2312" w:hAnsi="Times New Roman" w:cs="Times New Roman"/>
          <w:color w:val="000000" w:themeColor="text1"/>
          <w:sz w:val="32"/>
          <w:szCs w:val="32"/>
        </w:rPr>
        <w:t>性和数据可靠性的检查结果，依据判定原则，最终形成对药品注册申请真实性、一致性和商业化生产条件的综合评定结论。</w:t>
      </w:r>
    </w:p>
    <w:p w:rsidR="002D2CB6" w:rsidRPr="00B82C3B" w:rsidRDefault="006A4CA4" w:rsidP="003D0330">
      <w:pPr>
        <w:spacing w:line="572" w:lineRule="exact"/>
        <w:ind w:firstLineChars="200" w:firstLine="640"/>
        <w:rPr>
          <w:rFonts w:ascii="Times New Roman" w:eastAsia="黑体" w:hAnsi="Times New Roman" w:cs="Times New Roman"/>
          <w:color w:val="000000" w:themeColor="text1"/>
          <w:sz w:val="32"/>
          <w:szCs w:val="32"/>
        </w:rPr>
      </w:pPr>
      <w:r w:rsidRPr="00B82C3B">
        <w:rPr>
          <w:rFonts w:ascii="Times New Roman" w:eastAsia="黑体" w:hAnsi="Times New Roman" w:cs="Times New Roman"/>
          <w:color w:val="000000" w:themeColor="text1"/>
          <w:sz w:val="32"/>
          <w:szCs w:val="32"/>
        </w:rPr>
        <w:t>一、目的</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（一）</w:t>
      </w:r>
      <w:r w:rsidR="007E48C6" w:rsidRPr="00B82C3B">
        <w:rPr>
          <w:rFonts w:ascii="Times New Roman" w:eastAsia="仿宋_GB2312" w:hAnsi="Times New Roman" w:cs="Times New Roman"/>
          <w:color w:val="000000" w:themeColor="text1"/>
          <w:sz w:val="32"/>
          <w:szCs w:val="32"/>
        </w:rPr>
        <w:t>药学研制</w:t>
      </w:r>
      <w:r w:rsidRPr="00B82C3B">
        <w:rPr>
          <w:rFonts w:ascii="Times New Roman" w:eastAsia="仿宋_GB2312" w:hAnsi="Times New Roman" w:cs="Times New Roman"/>
          <w:color w:val="000000" w:themeColor="text1"/>
          <w:sz w:val="32"/>
          <w:szCs w:val="32"/>
        </w:rPr>
        <w:t>现场核查（本文件以下简称研制现场核查）的目的主要是通过对药学研制情况（包括处方与工艺研究、样品试制、质量控制研究、稳定性研究等）的原始资料进行数据可靠性的核实和</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或实地确证，核实申报资料的真实性、一致性。</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w:t>
      </w:r>
      <w:r w:rsidR="00B5216F" w:rsidRPr="00B82C3B">
        <w:rPr>
          <w:rFonts w:ascii="Times New Roman" w:eastAsia="仿宋_GB2312" w:hAnsi="Times New Roman" w:cs="Times New Roman"/>
          <w:color w:val="000000" w:themeColor="text1"/>
          <w:sz w:val="32"/>
          <w:szCs w:val="32"/>
        </w:rPr>
        <w:t>二</w:t>
      </w:r>
      <w:r w:rsidRPr="00B82C3B">
        <w:rPr>
          <w:rFonts w:ascii="Times New Roman" w:eastAsia="仿宋_GB2312" w:hAnsi="Times New Roman" w:cs="Times New Roman"/>
          <w:color w:val="000000" w:themeColor="text1"/>
          <w:sz w:val="32"/>
          <w:szCs w:val="32"/>
        </w:rPr>
        <w:t>）药品注册生产现场核查（以下简称生产现场核查）的目的主要是通过对申报品种的商业化生产条件和能力、数据</w:t>
      </w:r>
      <w:r w:rsidRPr="00B82C3B">
        <w:rPr>
          <w:rFonts w:ascii="Times New Roman" w:eastAsia="仿宋_GB2312" w:hAnsi="Times New Roman" w:cs="Times New Roman"/>
          <w:color w:val="000000" w:themeColor="text1"/>
          <w:sz w:val="32"/>
          <w:szCs w:val="32"/>
        </w:rPr>
        <w:lastRenderedPageBreak/>
        <w:t>可靠性进行实地核查，核实申报资料的真实性，核实商业化生产规模下相关生产和质量控制活动与申报资料（如处方、生产工艺、质量标准、关键设施设备等）的一致性以及商业化生产条件。</w:t>
      </w:r>
    </w:p>
    <w:p w:rsidR="002D2CB6" w:rsidRPr="00B82C3B" w:rsidRDefault="006A4CA4" w:rsidP="003D0330">
      <w:pPr>
        <w:spacing w:line="572" w:lineRule="exact"/>
        <w:ind w:firstLineChars="200" w:firstLine="640"/>
        <w:rPr>
          <w:rFonts w:ascii="Times New Roman" w:eastAsia="黑体" w:hAnsi="Times New Roman" w:cs="Times New Roman"/>
          <w:color w:val="000000" w:themeColor="text1"/>
          <w:sz w:val="32"/>
          <w:szCs w:val="32"/>
        </w:rPr>
      </w:pPr>
      <w:r w:rsidRPr="00B82C3B">
        <w:rPr>
          <w:rFonts w:ascii="Times New Roman" w:eastAsia="黑体" w:hAnsi="Times New Roman" w:cs="Times New Roman"/>
          <w:color w:val="000000" w:themeColor="text1"/>
          <w:sz w:val="32"/>
          <w:szCs w:val="32"/>
        </w:rPr>
        <w:t>二、范围</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（一）适用于由国家药品监督管理局药品审评中心启动、由国家药品监督管理局食品药品审核查验中心组织实施的</w:t>
      </w:r>
      <w:r w:rsidR="007E48C6" w:rsidRPr="00B82C3B">
        <w:rPr>
          <w:rFonts w:ascii="Times New Roman" w:eastAsia="仿宋_GB2312" w:hAnsi="Times New Roman" w:cs="Times New Roman"/>
          <w:color w:val="000000" w:themeColor="text1"/>
          <w:sz w:val="32"/>
          <w:szCs w:val="32"/>
        </w:rPr>
        <w:t>研制</w:t>
      </w:r>
      <w:r w:rsidRPr="00B82C3B">
        <w:rPr>
          <w:rFonts w:ascii="Times New Roman" w:eastAsia="仿宋_GB2312" w:hAnsi="Times New Roman" w:cs="Times New Roman"/>
          <w:color w:val="000000" w:themeColor="text1"/>
          <w:sz w:val="32"/>
          <w:szCs w:val="32"/>
        </w:rPr>
        <w:t>现场核查</w:t>
      </w:r>
      <w:r w:rsidR="007E48C6" w:rsidRPr="00B82C3B">
        <w:rPr>
          <w:rFonts w:ascii="Times New Roman" w:eastAsia="仿宋_GB2312" w:hAnsi="Times New Roman" w:cs="Times New Roman"/>
          <w:color w:val="000000" w:themeColor="text1"/>
          <w:sz w:val="32"/>
          <w:szCs w:val="32"/>
        </w:rPr>
        <w:t>和生产现场核查</w:t>
      </w:r>
      <w:r w:rsidRPr="00B82C3B">
        <w:rPr>
          <w:rFonts w:ascii="Times New Roman" w:eastAsia="仿宋_GB2312" w:hAnsi="Times New Roman" w:cs="Times New Roman"/>
          <w:color w:val="000000" w:themeColor="text1"/>
          <w:sz w:val="32"/>
          <w:szCs w:val="32"/>
        </w:rPr>
        <w:t>。</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省级药品监督管理局组织实施的药品注册现场核查可参考本核查要点和判定原则。</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（二）一般情况下，研制现场核查以确证性临床试验、生物等效性研究等药物临床试验相关批次为起点，直至商业化工艺验证批次前为止，重点包括确证性临床试验批次</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生物等效性研究批次等药物临床试验批次、技术转移批次、申报资料所涉及的稳定性试验批次等关键批次。必要时，可前溯至研究立项、处方筛选、工艺优化等研究内容。</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豁免药物临床试验的，以质量对比研究批次为起点，无对比研究的，以工艺处方基本确定后的批次为起点。</w:t>
      </w:r>
    </w:p>
    <w:p w:rsidR="002D2CB6" w:rsidRPr="00B82C3B" w:rsidRDefault="006A4CA4" w:rsidP="003D0330">
      <w:pPr>
        <w:widowControl/>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三）一般情况下，生产现场核查以技术转移所获取的知识为基础，以工艺验证批次为起点直至现场动态生产批次为止，重点包括工艺验证批次、动态生产批次以及在此期间的相关变更、稳定性试验等研究、试制的批次。</w:t>
      </w:r>
    </w:p>
    <w:p w:rsidR="002D2CB6" w:rsidRPr="00B82C3B" w:rsidRDefault="00B5216F"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lastRenderedPageBreak/>
        <w:t>（四）</w:t>
      </w:r>
      <w:r w:rsidR="006A4CA4" w:rsidRPr="00B82C3B">
        <w:rPr>
          <w:rFonts w:ascii="Times New Roman" w:eastAsia="仿宋_GB2312" w:hAnsi="Times New Roman" w:cs="Times New Roman"/>
          <w:color w:val="000000" w:themeColor="text1"/>
          <w:sz w:val="32"/>
          <w:szCs w:val="32"/>
        </w:rPr>
        <w:t>根据需要开展的原料药、药用辅料、直接</w:t>
      </w:r>
      <w:r w:rsidRPr="00B82C3B">
        <w:rPr>
          <w:rFonts w:ascii="Times New Roman" w:eastAsia="仿宋_GB2312" w:hAnsi="Times New Roman" w:cs="Times New Roman"/>
          <w:color w:val="000000" w:themeColor="text1"/>
          <w:sz w:val="32"/>
          <w:szCs w:val="32"/>
        </w:rPr>
        <w:t>接触药品包装材料生产企业或供应商，以及其他委托机构的延伸检查，可</w:t>
      </w:r>
      <w:r w:rsidR="006A4CA4" w:rsidRPr="00B82C3B">
        <w:rPr>
          <w:rFonts w:ascii="Times New Roman" w:eastAsia="仿宋_GB2312" w:hAnsi="Times New Roman" w:cs="Times New Roman"/>
          <w:color w:val="000000" w:themeColor="text1"/>
          <w:sz w:val="32"/>
          <w:szCs w:val="32"/>
        </w:rPr>
        <w:t>参照本核查要点进行。</w:t>
      </w:r>
    </w:p>
    <w:p w:rsidR="002D2CB6" w:rsidRPr="00B82C3B" w:rsidRDefault="00C04FC8" w:rsidP="003D0330">
      <w:pPr>
        <w:spacing w:line="572" w:lineRule="exact"/>
        <w:ind w:firstLineChars="200" w:firstLine="640"/>
        <w:rPr>
          <w:rFonts w:ascii="Times New Roman" w:eastAsia="黑体" w:hAnsi="Times New Roman" w:cs="Times New Roman"/>
          <w:color w:val="000000" w:themeColor="text1"/>
          <w:sz w:val="32"/>
          <w:szCs w:val="32"/>
        </w:rPr>
      </w:pPr>
      <w:r w:rsidRPr="00B82C3B">
        <w:rPr>
          <w:rFonts w:ascii="Times New Roman" w:eastAsia="黑体" w:hAnsi="Times New Roman" w:cs="Times New Roman"/>
          <w:color w:val="000000" w:themeColor="text1"/>
          <w:sz w:val="32"/>
          <w:szCs w:val="32"/>
        </w:rPr>
        <w:t>三</w:t>
      </w:r>
      <w:r w:rsidR="006A4CA4" w:rsidRPr="00B82C3B">
        <w:rPr>
          <w:rFonts w:ascii="Times New Roman" w:eastAsia="黑体" w:hAnsi="Times New Roman" w:cs="Times New Roman"/>
          <w:color w:val="000000" w:themeColor="text1"/>
          <w:sz w:val="32"/>
          <w:szCs w:val="32"/>
        </w:rPr>
        <w:t>、研制现场核查要点</w:t>
      </w:r>
    </w:p>
    <w:p w:rsidR="002D2CB6" w:rsidRPr="00B82C3B" w:rsidRDefault="006A4CA4" w:rsidP="003D0330">
      <w:pPr>
        <w:spacing w:line="572" w:lineRule="exact"/>
        <w:ind w:firstLineChars="200" w:firstLine="640"/>
        <w:rPr>
          <w:rFonts w:ascii="Times New Roman" w:eastAsia="楷体_GB2312" w:hAnsi="Times New Roman" w:cs="Times New Roman"/>
          <w:color w:val="000000" w:themeColor="text1"/>
          <w:sz w:val="32"/>
          <w:szCs w:val="32"/>
        </w:rPr>
      </w:pPr>
      <w:r w:rsidRPr="00B82C3B">
        <w:rPr>
          <w:rFonts w:ascii="Times New Roman" w:eastAsia="楷体_GB2312" w:hAnsi="Times New Roman" w:cs="Times New Roman"/>
          <w:color w:val="000000" w:themeColor="text1"/>
          <w:sz w:val="32"/>
          <w:szCs w:val="32"/>
        </w:rPr>
        <w:t>（一）质量管理</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开展药物研究开发，应当建立与研究内容相适应的组织机构和质量管理体系，应当具有与药物研究内容相适应的人员、设施、设备、仪器等，制订相应的管理制度或标准操作规程并遵照实施。</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1.</w:t>
      </w:r>
      <w:r w:rsidRPr="00B82C3B">
        <w:rPr>
          <w:rFonts w:ascii="Times New Roman" w:eastAsia="仿宋_GB2312" w:hAnsi="Times New Roman" w:cs="Times New Roman"/>
          <w:color w:val="000000" w:themeColor="text1"/>
          <w:sz w:val="32"/>
          <w:szCs w:val="32"/>
        </w:rPr>
        <w:t>组织机构和人员</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应当建立与研究内容相适应的管理机构，以进行相应质量管理。</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应当配备具有适当资质（含学历、培训或实践经验）的管理和研究人员，遵守国家相关法律法规的规定，保证试验数据与资料的真实性和可靠性。</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2.</w:t>
      </w:r>
      <w:r w:rsidRPr="00B82C3B">
        <w:rPr>
          <w:rFonts w:ascii="Times New Roman" w:eastAsia="仿宋_GB2312" w:hAnsi="Times New Roman" w:cs="Times New Roman"/>
          <w:color w:val="000000" w:themeColor="text1"/>
          <w:sz w:val="32"/>
          <w:szCs w:val="32"/>
        </w:rPr>
        <w:t>研究条件</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应当具有与研究内容相适应的场地、设施、设备、仪器和管理制度或标准操作规程，并与研究记录和申报资料一致。</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3.</w:t>
      </w:r>
      <w:r w:rsidRPr="00B82C3B">
        <w:rPr>
          <w:rFonts w:ascii="Times New Roman" w:eastAsia="仿宋_GB2312" w:hAnsi="Times New Roman" w:cs="Times New Roman"/>
          <w:color w:val="000000" w:themeColor="text1"/>
          <w:sz w:val="32"/>
          <w:szCs w:val="32"/>
        </w:rPr>
        <w:t>文件和记录</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应当建立文件和记录管理的制度或标准操作规程。药物研究开发全过程应有相应记录，包括</w:t>
      </w:r>
      <w:proofErr w:type="gramStart"/>
      <w:r w:rsidRPr="00B82C3B">
        <w:rPr>
          <w:rFonts w:ascii="Times New Roman" w:eastAsia="仿宋_GB2312" w:hAnsi="Times New Roman" w:cs="Times New Roman"/>
          <w:color w:val="000000" w:themeColor="text1"/>
          <w:sz w:val="32"/>
          <w:szCs w:val="32"/>
        </w:rPr>
        <w:t>预试验</w:t>
      </w:r>
      <w:proofErr w:type="gramEnd"/>
      <w:r w:rsidRPr="00B82C3B">
        <w:rPr>
          <w:rFonts w:ascii="Times New Roman" w:eastAsia="仿宋_GB2312" w:hAnsi="Times New Roman" w:cs="Times New Roman"/>
          <w:color w:val="000000" w:themeColor="text1"/>
          <w:sz w:val="32"/>
          <w:szCs w:val="32"/>
        </w:rPr>
        <w:t>和探索性研究的数据和记录。</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lastRenderedPageBreak/>
        <w:t>4.</w:t>
      </w:r>
      <w:r w:rsidRPr="00B82C3B">
        <w:rPr>
          <w:rFonts w:ascii="Times New Roman" w:eastAsia="仿宋_GB2312" w:hAnsi="Times New Roman" w:cs="Times New Roman"/>
          <w:color w:val="000000" w:themeColor="text1"/>
          <w:sz w:val="32"/>
          <w:szCs w:val="32"/>
        </w:rPr>
        <w:t>变更和偏差管理</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至少在药物进入临床阶段后就应当建立与药物研发阶段相适应的变更、偏差和失败管理制度或标准操作规程，针对关键批次出现的偏差或失败应当得到适当的调查和</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或分析</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并进行记录。</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5.</w:t>
      </w:r>
      <w:r w:rsidRPr="00B82C3B">
        <w:rPr>
          <w:rFonts w:ascii="Times New Roman" w:eastAsia="仿宋_GB2312" w:hAnsi="Times New Roman" w:cs="Times New Roman"/>
          <w:color w:val="000000" w:themeColor="text1"/>
          <w:sz w:val="32"/>
          <w:szCs w:val="32"/>
        </w:rPr>
        <w:t>委托研究</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委托其他机构进行全部或部分药学研究及样品试制的，委托方应当对受托方的研究能力、质量管理体系等进行评估，以确证其研究条件和研究情况。双方应当签订委托合同或其他有效证明。委托方应当对委托研究的过程和结果负责，并确保委托研究过程中的数据可靠性。受托方应当遵守相关要求，保证研究及样品制备过程规范、数据真实可靠、研制过程可追溯。</w:t>
      </w:r>
    </w:p>
    <w:p w:rsidR="002D2CB6" w:rsidRPr="00B82C3B" w:rsidRDefault="006A4CA4" w:rsidP="003D0330">
      <w:pPr>
        <w:spacing w:line="572" w:lineRule="exact"/>
        <w:ind w:firstLineChars="200" w:firstLine="640"/>
        <w:rPr>
          <w:rFonts w:ascii="Times New Roman" w:eastAsia="楷体_GB2312" w:hAnsi="Times New Roman" w:cs="Times New Roman"/>
          <w:color w:val="000000" w:themeColor="text1"/>
          <w:sz w:val="32"/>
          <w:szCs w:val="32"/>
        </w:rPr>
      </w:pPr>
      <w:r w:rsidRPr="00B82C3B">
        <w:rPr>
          <w:rFonts w:ascii="Times New Roman" w:eastAsia="楷体_GB2312" w:hAnsi="Times New Roman" w:cs="Times New Roman"/>
          <w:color w:val="000000" w:themeColor="text1"/>
          <w:sz w:val="32"/>
          <w:szCs w:val="32"/>
        </w:rPr>
        <w:t>（二）处方和工艺</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处方和工艺研究过程应当完整科学、设计合理，相关研究记录应当真实完整，与申报资料一致。</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1.</w:t>
      </w:r>
      <w:r w:rsidRPr="00B82C3B">
        <w:rPr>
          <w:rFonts w:ascii="Times New Roman" w:eastAsia="仿宋_GB2312" w:hAnsi="Times New Roman" w:cs="Times New Roman"/>
          <w:color w:val="000000" w:themeColor="text1"/>
          <w:sz w:val="32"/>
          <w:szCs w:val="32"/>
        </w:rPr>
        <w:t>研究确定的处方组成、工艺流程图、工艺描述、关键工艺参数和范围，应当与申报资料一致。</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2.</w:t>
      </w:r>
      <w:r w:rsidRPr="00B82C3B">
        <w:rPr>
          <w:rFonts w:ascii="Times New Roman" w:eastAsia="仿宋_GB2312" w:hAnsi="Times New Roman" w:cs="Times New Roman"/>
          <w:color w:val="000000" w:themeColor="text1"/>
          <w:sz w:val="32"/>
          <w:szCs w:val="32"/>
        </w:rPr>
        <w:t>处方工艺研究确定的试验数据、时间，应当与申报资料一致。</w:t>
      </w:r>
    </w:p>
    <w:p w:rsidR="002D2CB6" w:rsidRPr="00B82C3B" w:rsidRDefault="006A4CA4" w:rsidP="003D0330">
      <w:pPr>
        <w:spacing w:line="572" w:lineRule="exact"/>
        <w:ind w:firstLineChars="200" w:firstLine="640"/>
        <w:rPr>
          <w:rFonts w:ascii="Times New Roman" w:eastAsia="楷体_GB2312" w:hAnsi="Times New Roman" w:cs="Times New Roman"/>
          <w:color w:val="000000" w:themeColor="text1"/>
          <w:sz w:val="32"/>
          <w:szCs w:val="32"/>
        </w:rPr>
      </w:pPr>
      <w:r w:rsidRPr="00B82C3B">
        <w:rPr>
          <w:rFonts w:ascii="Times New Roman" w:eastAsia="楷体_GB2312" w:hAnsi="Times New Roman" w:cs="Times New Roman"/>
          <w:color w:val="000000" w:themeColor="text1"/>
          <w:sz w:val="32"/>
          <w:szCs w:val="32"/>
        </w:rPr>
        <w:t>（三）样品试制</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1.</w:t>
      </w:r>
      <w:r w:rsidRPr="00B82C3B">
        <w:rPr>
          <w:rFonts w:ascii="Times New Roman" w:eastAsia="仿宋_GB2312" w:hAnsi="Times New Roman" w:cs="Times New Roman"/>
          <w:color w:val="000000" w:themeColor="text1"/>
          <w:sz w:val="32"/>
          <w:szCs w:val="32"/>
        </w:rPr>
        <w:t>研制样品试制记录，尤其是关键批次样品的试制记录应当完整保存。</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lastRenderedPageBreak/>
        <w:t>2.</w:t>
      </w:r>
      <w:r w:rsidRPr="00B82C3B">
        <w:rPr>
          <w:rFonts w:ascii="Times New Roman" w:eastAsia="仿宋_GB2312" w:hAnsi="Times New Roman" w:cs="Times New Roman"/>
          <w:color w:val="000000" w:themeColor="text1"/>
          <w:sz w:val="32"/>
          <w:szCs w:val="32"/>
        </w:rPr>
        <w:t>关键批次样品的处方和生产工艺、过程控制、试制场地和生产线、使用的主要生产设备型号、技术参数及原始记录等应与申报资料一致。</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3.</w:t>
      </w:r>
      <w:r w:rsidRPr="00B82C3B">
        <w:rPr>
          <w:rFonts w:ascii="Times New Roman" w:eastAsia="仿宋_GB2312" w:hAnsi="Times New Roman" w:cs="Times New Roman"/>
          <w:color w:val="000000" w:themeColor="text1"/>
          <w:sz w:val="32"/>
          <w:szCs w:val="32"/>
        </w:rPr>
        <w:t>样品试制量、剩余量与使用量之间应当能够对应。应保留试制样品实物，处方工艺确定后生产的关键批次样品在上市申请批准前不得销毁。</w:t>
      </w:r>
    </w:p>
    <w:p w:rsidR="002D2CB6" w:rsidRPr="00B82C3B" w:rsidRDefault="006A4CA4" w:rsidP="003D0330">
      <w:pPr>
        <w:spacing w:line="572" w:lineRule="exact"/>
        <w:ind w:firstLineChars="200" w:firstLine="640"/>
        <w:rPr>
          <w:rFonts w:ascii="Times New Roman" w:eastAsia="楷体_GB2312" w:hAnsi="Times New Roman" w:cs="Times New Roman"/>
          <w:color w:val="000000" w:themeColor="text1"/>
          <w:sz w:val="32"/>
          <w:szCs w:val="32"/>
        </w:rPr>
      </w:pPr>
      <w:r w:rsidRPr="00B82C3B">
        <w:rPr>
          <w:rFonts w:ascii="Times New Roman" w:eastAsia="楷体_GB2312" w:hAnsi="Times New Roman" w:cs="Times New Roman"/>
          <w:color w:val="000000" w:themeColor="text1"/>
          <w:sz w:val="32"/>
          <w:szCs w:val="32"/>
        </w:rPr>
        <w:t>（四）原辅料与直接接触药品的包装材料和容器</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1.</w:t>
      </w:r>
      <w:r w:rsidRPr="00B82C3B">
        <w:rPr>
          <w:rFonts w:ascii="Times New Roman" w:eastAsia="仿宋_GB2312" w:hAnsi="Times New Roman" w:cs="Times New Roman"/>
          <w:color w:val="000000" w:themeColor="text1"/>
          <w:sz w:val="32"/>
          <w:szCs w:val="32"/>
        </w:rPr>
        <w:t>关键批次样品试制所用的原辅料、直接接触药品的包装材料和容器等具有合法来源（如供货协议、发票等），并与申报资料一致。</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菌毒种、细胞株、血浆来源应合法、清晰、可追溯，并与申报资料一致。</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药材及中药</w:t>
      </w:r>
      <w:proofErr w:type="gramStart"/>
      <w:r w:rsidRPr="00B82C3B">
        <w:rPr>
          <w:rFonts w:ascii="Times New Roman" w:eastAsia="仿宋_GB2312" w:hAnsi="Times New Roman" w:cs="Times New Roman"/>
          <w:color w:val="000000" w:themeColor="text1"/>
          <w:sz w:val="32"/>
          <w:szCs w:val="32"/>
        </w:rPr>
        <w:t>饮片基源和</w:t>
      </w:r>
      <w:proofErr w:type="gramEnd"/>
      <w:r w:rsidRPr="00B82C3B">
        <w:rPr>
          <w:rFonts w:ascii="Times New Roman" w:eastAsia="仿宋_GB2312" w:hAnsi="Times New Roman" w:cs="Times New Roman"/>
          <w:color w:val="000000" w:themeColor="text1"/>
          <w:sz w:val="32"/>
          <w:szCs w:val="32"/>
        </w:rPr>
        <w:t>产地应明确，并与申报资料一致。</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2.</w:t>
      </w:r>
      <w:r w:rsidRPr="00B82C3B">
        <w:rPr>
          <w:rFonts w:ascii="Times New Roman" w:eastAsia="仿宋_GB2312" w:hAnsi="Times New Roman" w:cs="Times New Roman"/>
          <w:color w:val="000000" w:themeColor="text1"/>
          <w:sz w:val="32"/>
          <w:szCs w:val="32"/>
        </w:rPr>
        <w:t>原辅料、药材和提取物、直接接触药品的包装材料和容器等的使用时间和使用量应与样品研制情况相匹配。</w:t>
      </w:r>
    </w:p>
    <w:p w:rsidR="002D2CB6" w:rsidRPr="00B82C3B" w:rsidRDefault="006A4CA4" w:rsidP="003D0330">
      <w:pPr>
        <w:spacing w:line="572" w:lineRule="exact"/>
        <w:ind w:firstLine="630"/>
        <w:rPr>
          <w:rFonts w:ascii="Times New Roman" w:eastAsia="仿宋_GB2312" w:hAnsi="Times New Roman" w:cs="Times New Roman"/>
          <w:color w:val="FF0000"/>
          <w:sz w:val="32"/>
          <w:szCs w:val="32"/>
        </w:rPr>
      </w:pPr>
      <w:r w:rsidRPr="00B82C3B">
        <w:rPr>
          <w:rFonts w:ascii="Times New Roman" w:eastAsia="仿宋_GB2312" w:hAnsi="Times New Roman" w:cs="Times New Roman"/>
          <w:color w:val="000000" w:themeColor="text1"/>
          <w:sz w:val="32"/>
          <w:szCs w:val="32"/>
        </w:rPr>
        <w:t>各级菌毒种种子批、细胞库的建立、检验、放行等符合申报资料要求。</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3.</w:t>
      </w:r>
      <w:r w:rsidRPr="00B82C3B">
        <w:rPr>
          <w:rFonts w:ascii="Times New Roman" w:eastAsia="仿宋_GB2312" w:hAnsi="Times New Roman" w:cs="Times New Roman"/>
          <w:color w:val="000000" w:themeColor="text1"/>
          <w:sz w:val="32"/>
          <w:szCs w:val="32"/>
        </w:rPr>
        <w:t>结合制剂特点制订的原辅料、直接接触药品的包装材料和容器的内控标准，相应研究过程应与申报资料一致。</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4.</w:t>
      </w:r>
      <w:r w:rsidRPr="00B82C3B">
        <w:rPr>
          <w:rFonts w:ascii="Times New Roman" w:eastAsia="仿宋_GB2312" w:hAnsi="Times New Roman" w:cs="Times New Roman"/>
          <w:color w:val="000000" w:themeColor="text1"/>
          <w:sz w:val="32"/>
          <w:szCs w:val="32"/>
        </w:rPr>
        <w:t>关键批次样品试制用的原辅料及直接接触药品的包装材料和容器应有检验报告书，并与申报资料一致。</w:t>
      </w:r>
    </w:p>
    <w:p w:rsidR="002D2CB6" w:rsidRPr="00B82C3B" w:rsidRDefault="006A4CA4" w:rsidP="003D0330">
      <w:pPr>
        <w:spacing w:line="572" w:lineRule="exact"/>
        <w:ind w:firstLineChars="200" w:firstLine="640"/>
        <w:rPr>
          <w:rFonts w:ascii="Times New Roman" w:eastAsia="楷体_GB2312" w:hAnsi="Times New Roman" w:cs="Times New Roman"/>
          <w:color w:val="000000" w:themeColor="text1"/>
          <w:sz w:val="32"/>
          <w:szCs w:val="32"/>
        </w:rPr>
      </w:pPr>
      <w:r w:rsidRPr="00B82C3B">
        <w:rPr>
          <w:rFonts w:ascii="Times New Roman" w:eastAsia="楷体_GB2312" w:hAnsi="Times New Roman" w:cs="Times New Roman"/>
          <w:color w:val="000000" w:themeColor="text1"/>
          <w:sz w:val="32"/>
          <w:szCs w:val="32"/>
        </w:rPr>
        <w:t>（五）质量控制</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lastRenderedPageBreak/>
        <w:t>1.</w:t>
      </w:r>
      <w:r w:rsidRPr="00B82C3B">
        <w:rPr>
          <w:rFonts w:ascii="Times New Roman" w:eastAsia="仿宋_GB2312" w:hAnsi="Times New Roman" w:cs="Times New Roman"/>
          <w:color w:val="000000" w:themeColor="text1"/>
          <w:sz w:val="32"/>
          <w:szCs w:val="32"/>
        </w:rPr>
        <w:t>关键批次研究使用的仪器设备应当经必要的检定或校验合格，有使用记录、维护记录和检定校验记录，与研究时间对应一致，记录内容与申报资料一致。</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2.</w:t>
      </w:r>
      <w:r w:rsidRPr="00B82C3B">
        <w:rPr>
          <w:rFonts w:ascii="Times New Roman" w:eastAsia="仿宋_GB2312" w:hAnsi="Times New Roman" w:cs="Times New Roman"/>
          <w:color w:val="000000" w:themeColor="text1"/>
          <w:sz w:val="32"/>
          <w:szCs w:val="32"/>
        </w:rPr>
        <w:t>用于质量研究的样品批次、研究时间与样品试制时间应当能够对应。</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3.</w:t>
      </w:r>
      <w:r w:rsidRPr="00B82C3B">
        <w:rPr>
          <w:rFonts w:ascii="Times New Roman" w:eastAsia="仿宋_GB2312" w:hAnsi="Times New Roman" w:cs="Times New Roman"/>
          <w:color w:val="000000" w:themeColor="text1"/>
          <w:sz w:val="32"/>
          <w:szCs w:val="32"/>
        </w:rPr>
        <w:t>质量研究各项目</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如溶出度</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释放度、有关物质、含量</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效价等关键质量属性研究及实验方法学考察的原始记录、实验图谱数据应当完整可靠，数据格式应当与所用的仪器设备匹配。</w:t>
      </w:r>
    </w:p>
    <w:p w:rsidR="002D2CB6" w:rsidRPr="00B82C3B" w:rsidRDefault="006A4CA4" w:rsidP="003D0330">
      <w:pPr>
        <w:spacing w:line="572" w:lineRule="exact"/>
        <w:ind w:firstLineChars="200" w:firstLine="640"/>
        <w:rPr>
          <w:rFonts w:ascii="Times New Roman" w:eastAsia="楷体_GB2312" w:hAnsi="Times New Roman" w:cs="Times New Roman"/>
          <w:color w:val="000000" w:themeColor="text1"/>
          <w:sz w:val="32"/>
          <w:szCs w:val="32"/>
        </w:rPr>
      </w:pPr>
      <w:r w:rsidRPr="00B82C3B">
        <w:rPr>
          <w:rFonts w:ascii="Times New Roman" w:eastAsia="楷体_GB2312" w:hAnsi="Times New Roman" w:cs="Times New Roman"/>
          <w:color w:val="000000" w:themeColor="text1"/>
          <w:sz w:val="32"/>
          <w:szCs w:val="32"/>
        </w:rPr>
        <w:t>（六）技术转移</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从药品研制到生产阶段的技术转移是一个系统工程，其目的是将在研制过程中所获取的产品知识和经验转移给生产企业。</w:t>
      </w:r>
      <w:r w:rsidRPr="00B82C3B">
        <w:rPr>
          <w:rFonts w:ascii="Times New Roman" w:eastAsia="仿宋_GB2312" w:hAnsi="Times New Roman" w:cs="Times New Roman"/>
          <w:color w:val="000000" w:themeColor="text1"/>
          <w:sz w:val="32"/>
          <w:szCs w:val="32"/>
        </w:rPr>
        <w:t xml:space="preserve"> </w:t>
      </w:r>
      <w:r w:rsidRPr="00B82C3B">
        <w:rPr>
          <w:rFonts w:ascii="Times New Roman" w:eastAsia="仿宋_GB2312" w:hAnsi="Times New Roman" w:cs="Times New Roman"/>
          <w:color w:val="000000" w:themeColor="text1"/>
          <w:sz w:val="32"/>
          <w:szCs w:val="32"/>
        </w:rPr>
        <w:t>接受技术转移的生产企业应当有能力实施被转移的技术，生产出符合注册要求的药品。</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1.</w:t>
      </w:r>
      <w:r w:rsidRPr="00B82C3B">
        <w:rPr>
          <w:rFonts w:ascii="Times New Roman" w:eastAsia="仿宋_GB2312" w:hAnsi="Times New Roman" w:cs="Times New Roman"/>
          <w:color w:val="000000" w:themeColor="text1"/>
          <w:sz w:val="32"/>
          <w:szCs w:val="32"/>
        </w:rPr>
        <w:t>技术转移应当完成技术文件的转移，并有相应关键文件和记录。</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2.</w:t>
      </w:r>
      <w:r w:rsidRPr="00B82C3B">
        <w:rPr>
          <w:rFonts w:ascii="Times New Roman" w:eastAsia="仿宋_GB2312" w:hAnsi="Times New Roman" w:cs="Times New Roman"/>
          <w:color w:val="000000" w:themeColor="text1"/>
          <w:sz w:val="32"/>
          <w:szCs w:val="32"/>
        </w:rPr>
        <w:t>应当对技术转移过程涉及的人员、设备、工艺、物料等因素进行技术评估，并在技术转移过程中采取相应措施，降低风险。</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3.</w:t>
      </w:r>
      <w:r w:rsidRPr="00B82C3B">
        <w:rPr>
          <w:rFonts w:ascii="Times New Roman" w:eastAsia="仿宋_GB2312" w:hAnsi="Times New Roman" w:cs="Times New Roman"/>
          <w:color w:val="000000" w:themeColor="text1"/>
          <w:sz w:val="32"/>
          <w:szCs w:val="32"/>
        </w:rPr>
        <w:t>技术转移或工艺放大后应当完成工艺验证，验证数据应能支持商业化批量生产的关键工艺参数。</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4.</w:t>
      </w:r>
      <w:r w:rsidRPr="00B82C3B">
        <w:rPr>
          <w:rFonts w:ascii="Times New Roman" w:eastAsia="仿宋_GB2312" w:hAnsi="Times New Roman" w:cs="Times New Roman"/>
          <w:color w:val="000000" w:themeColor="text1"/>
          <w:sz w:val="32"/>
          <w:szCs w:val="32"/>
        </w:rPr>
        <w:t>分析方法的转移应经过确认，并有记录和报告。</w:t>
      </w:r>
    </w:p>
    <w:p w:rsidR="002D2CB6" w:rsidRPr="00B82C3B" w:rsidRDefault="006A4CA4" w:rsidP="003D0330">
      <w:pPr>
        <w:spacing w:line="572" w:lineRule="exact"/>
        <w:ind w:firstLineChars="200" w:firstLine="640"/>
        <w:rPr>
          <w:rFonts w:ascii="Times New Roman" w:eastAsia="楷体_GB2312" w:hAnsi="Times New Roman" w:cs="Times New Roman"/>
          <w:color w:val="000000" w:themeColor="text1"/>
          <w:sz w:val="32"/>
          <w:szCs w:val="32"/>
        </w:rPr>
      </w:pPr>
      <w:r w:rsidRPr="00B82C3B">
        <w:rPr>
          <w:rFonts w:ascii="Times New Roman" w:eastAsia="楷体_GB2312" w:hAnsi="Times New Roman" w:cs="Times New Roman"/>
          <w:color w:val="000000" w:themeColor="text1"/>
          <w:sz w:val="32"/>
          <w:szCs w:val="32"/>
        </w:rPr>
        <w:t>（七）对照品和</w:t>
      </w:r>
      <w:proofErr w:type="gramStart"/>
      <w:r w:rsidRPr="00B82C3B">
        <w:rPr>
          <w:rFonts w:ascii="Times New Roman" w:eastAsia="楷体_GB2312" w:hAnsi="Times New Roman" w:cs="Times New Roman"/>
          <w:color w:val="000000" w:themeColor="text1"/>
          <w:sz w:val="32"/>
          <w:szCs w:val="32"/>
        </w:rPr>
        <w:t>参比</w:t>
      </w:r>
      <w:proofErr w:type="gramEnd"/>
      <w:r w:rsidRPr="00B82C3B">
        <w:rPr>
          <w:rFonts w:ascii="Times New Roman" w:eastAsia="楷体_GB2312" w:hAnsi="Times New Roman" w:cs="Times New Roman"/>
          <w:color w:val="000000" w:themeColor="text1"/>
          <w:sz w:val="32"/>
          <w:szCs w:val="32"/>
        </w:rPr>
        <w:t>制剂</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lastRenderedPageBreak/>
        <w:t>1.</w:t>
      </w:r>
      <w:r w:rsidRPr="00B82C3B">
        <w:rPr>
          <w:rFonts w:ascii="Times New Roman" w:eastAsia="仿宋_GB2312" w:hAnsi="Times New Roman" w:cs="Times New Roman"/>
          <w:color w:val="000000" w:themeColor="text1"/>
          <w:sz w:val="32"/>
          <w:szCs w:val="32"/>
        </w:rPr>
        <w:t>所用的对照品</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标准品具有合法来源证明，并与申报资料一致。如为工作对照品，应有完整的标化记录且应在效期内使用；有对照品</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标准品的接收、发放、使用记录或凭证，应与实际的研究</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评价工作相吻合。</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2.</w:t>
      </w:r>
      <w:r w:rsidRPr="00B82C3B">
        <w:rPr>
          <w:rFonts w:ascii="Times New Roman" w:eastAsia="仿宋_GB2312" w:hAnsi="Times New Roman" w:cs="Times New Roman"/>
          <w:color w:val="000000" w:themeColor="text1"/>
          <w:sz w:val="32"/>
          <w:szCs w:val="32"/>
        </w:rPr>
        <w:t>所用的参比制剂应与申报资料一致，有明确的来源及来源证明，如购买发票、赠送证明等；有参比制剂的包装标签、说明书、剩余样品等；有参比制剂的接收、发放、使用记录或凭证，应与实际的研究</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评价工作相吻合。</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3.</w:t>
      </w:r>
      <w:r w:rsidRPr="00B82C3B">
        <w:rPr>
          <w:rFonts w:ascii="Times New Roman" w:eastAsia="仿宋_GB2312" w:hAnsi="Times New Roman" w:cs="Times New Roman"/>
          <w:color w:val="000000" w:themeColor="text1"/>
          <w:sz w:val="32"/>
          <w:szCs w:val="32"/>
        </w:rPr>
        <w:t>对照品</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参比制剂应按其规定的贮藏条件保存，并与申报资料一致。</w:t>
      </w:r>
    </w:p>
    <w:p w:rsidR="002D2CB6" w:rsidRPr="00B82C3B" w:rsidRDefault="006A4CA4" w:rsidP="003D0330">
      <w:pPr>
        <w:spacing w:line="572" w:lineRule="exact"/>
        <w:ind w:firstLineChars="200" w:firstLine="640"/>
        <w:rPr>
          <w:rFonts w:ascii="Times New Roman" w:eastAsia="楷体_GB2312" w:hAnsi="Times New Roman" w:cs="Times New Roman"/>
          <w:color w:val="FF0000"/>
          <w:kern w:val="0"/>
          <w:sz w:val="31"/>
          <w:szCs w:val="31"/>
        </w:rPr>
      </w:pPr>
      <w:r w:rsidRPr="00B82C3B">
        <w:rPr>
          <w:rFonts w:ascii="Times New Roman" w:eastAsia="楷体_GB2312" w:hAnsi="Times New Roman" w:cs="Times New Roman"/>
          <w:color w:val="000000" w:themeColor="text1"/>
          <w:sz w:val="32"/>
          <w:szCs w:val="32"/>
        </w:rPr>
        <w:t>（八）稳定性研究</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企业应制定稳定性研究方案，并根据稳定性研究方案开展研究工作。稳定性研究的批次应与申报资料一致。</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1.</w:t>
      </w:r>
      <w:r w:rsidRPr="00B82C3B">
        <w:rPr>
          <w:rFonts w:ascii="Times New Roman" w:eastAsia="仿宋_GB2312" w:hAnsi="Times New Roman" w:cs="Times New Roman"/>
          <w:color w:val="000000" w:themeColor="text1"/>
          <w:sz w:val="32"/>
          <w:szCs w:val="32"/>
        </w:rPr>
        <w:t>稳定性研究样品所用直接接触药品的包装材料和容器应与申报资料一致。</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2.</w:t>
      </w:r>
      <w:r w:rsidRPr="00B82C3B">
        <w:rPr>
          <w:rFonts w:ascii="Times New Roman" w:eastAsia="仿宋_GB2312" w:hAnsi="Times New Roman" w:cs="Times New Roman"/>
          <w:color w:val="000000" w:themeColor="text1"/>
          <w:sz w:val="32"/>
          <w:szCs w:val="32"/>
        </w:rPr>
        <w:t>稳定性研究样品放置条件等，应与申报资料一致。</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3.</w:t>
      </w:r>
      <w:r w:rsidRPr="00B82C3B">
        <w:rPr>
          <w:rFonts w:ascii="Times New Roman" w:eastAsia="仿宋_GB2312" w:hAnsi="Times New Roman" w:cs="Times New Roman"/>
          <w:color w:val="000000" w:themeColor="text1"/>
          <w:sz w:val="32"/>
          <w:szCs w:val="32"/>
        </w:rPr>
        <w:t>稳定性研究过程中各时间点原始检验记录数据应与申报资料一致。</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4.</w:t>
      </w:r>
      <w:r w:rsidRPr="00B82C3B">
        <w:rPr>
          <w:rFonts w:ascii="Times New Roman" w:eastAsia="仿宋_GB2312" w:hAnsi="Times New Roman" w:cs="Times New Roman"/>
          <w:color w:val="000000" w:themeColor="text1"/>
          <w:sz w:val="32"/>
          <w:szCs w:val="32"/>
        </w:rPr>
        <w:t>稳定性研究所涉及的数据应能溯源，并完整可靠。</w:t>
      </w:r>
    </w:p>
    <w:p w:rsidR="002D2CB6" w:rsidRPr="00B82C3B" w:rsidRDefault="006A4CA4" w:rsidP="003D0330">
      <w:pPr>
        <w:spacing w:line="572" w:lineRule="exact"/>
        <w:ind w:firstLineChars="200" w:firstLine="640"/>
        <w:rPr>
          <w:rFonts w:ascii="Times New Roman" w:eastAsia="楷体_GB2312" w:hAnsi="Times New Roman" w:cs="Times New Roman"/>
          <w:color w:val="000000" w:themeColor="text1"/>
          <w:sz w:val="32"/>
          <w:szCs w:val="32"/>
        </w:rPr>
      </w:pPr>
      <w:r w:rsidRPr="00B82C3B">
        <w:rPr>
          <w:rFonts w:ascii="Times New Roman" w:eastAsia="楷体_GB2312" w:hAnsi="Times New Roman" w:cs="Times New Roman"/>
          <w:color w:val="000000" w:themeColor="text1"/>
          <w:sz w:val="32"/>
          <w:szCs w:val="32"/>
        </w:rPr>
        <w:t>（九）数据可靠性</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申报资料中的数据均应真实、准确，能够溯源，相关的原始记录、原始图谱、原始数据等均应与申报资料一致，并且，</w:t>
      </w:r>
      <w:r w:rsidRPr="00B82C3B">
        <w:rPr>
          <w:rFonts w:ascii="Times New Roman" w:eastAsia="仿宋_GB2312" w:hAnsi="Times New Roman" w:cs="Times New Roman"/>
          <w:color w:val="000000" w:themeColor="text1"/>
          <w:sz w:val="32"/>
          <w:szCs w:val="32"/>
        </w:rPr>
        <w:lastRenderedPageBreak/>
        <w:t>研制单位应采取有效措施防止数据的修改、删除、覆盖等，以确保数据可靠。其中，方法学验证及之后影响产品质量和稳定性数据评价的研究数据尤为重要。</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1.</w:t>
      </w:r>
      <w:r w:rsidRPr="00B82C3B">
        <w:rPr>
          <w:rFonts w:ascii="Times New Roman" w:eastAsia="仿宋_GB2312" w:hAnsi="Times New Roman" w:cs="Times New Roman"/>
          <w:color w:val="000000" w:themeColor="text1"/>
          <w:sz w:val="32"/>
          <w:szCs w:val="32"/>
        </w:rPr>
        <w:t>质量研究及稳定性研究中的数据（包括试验图谱）应当可溯源：红外光谱法、紫外可见分光光度法、高效或超高效液相色谱法、气相色谱法等得出具有数字信号处理系统打印的图谱，应当具有可追溯的关键信息（如图谱数据文件的存储路径、数据采集日期、采集方法参数等），各图谱的电子版应当保存完好；电子天平的称量打印记录应可追溯；需目视检查的项目（如薄层色谱、纸色谱、电泳等）应当有照片或数码照相所得的电子文件。</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2.</w:t>
      </w:r>
      <w:r w:rsidRPr="00B82C3B">
        <w:rPr>
          <w:rFonts w:ascii="Times New Roman" w:eastAsia="仿宋_GB2312" w:hAnsi="Times New Roman" w:cs="Times New Roman"/>
          <w:color w:val="000000" w:themeColor="text1"/>
          <w:sz w:val="32"/>
          <w:szCs w:val="32"/>
        </w:rPr>
        <w:t>药物研究期间，具有数字信号处理系统设备应当开启审计追踪功能，被核查数据应当在采集数据的计算机或数据库中。审计追踪功能应能显示对以前保留数据与原始数据所有更改情况，应能关联到数据修改者，并记录更改时间及更改原因，用户应没有权限修改或关闭审计追踪功能。</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3.</w:t>
      </w:r>
      <w:r w:rsidRPr="00B82C3B">
        <w:rPr>
          <w:rFonts w:ascii="Times New Roman" w:eastAsia="仿宋_GB2312" w:hAnsi="Times New Roman" w:cs="Times New Roman"/>
          <w:color w:val="000000" w:themeColor="text1"/>
          <w:sz w:val="32"/>
          <w:szCs w:val="32"/>
        </w:rPr>
        <w:t>纸质图谱编码</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测试样本编码应当与原始记录对应，可溯源。</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4.</w:t>
      </w:r>
      <w:r w:rsidRPr="00B82C3B">
        <w:rPr>
          <w:rFonts w:ascii="Times New Roman" w:eastAsia="仿宋_GB2312" w:hAnsi="Times New Roman" w:cs="Times New Roman"/>
          <w:color w:val="000000" w:themeColor="text1"/>
          <w:sz w:val="32"/>
          <w:szCs w:val="32"/>
        </w:rPr>
        <w:t>电子图谱应为连续图谱，如有选择图谱、弃用图谱情况，应提供相应说明或依据。</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5.</w:t>
      </w:r>
      <w:r w:rsidRPr="00B82C3B">
        <w:rPr>
          <w:rFonts w:ascii="Times New Roman" w:eastAsia="仿宋_GB2312" w:hAnsi="Times New Roman" w:cs="Times New Roman"/>
          <w:color w:val="000000" w:themeColor="text1"/>
          <w:sz w:val="32"/>
          <w:szCs w:val="32"/>
        </w:rPr>
        <w:t>数据应能归属到具体的操作人员。具备计算机化系统的试验设备，其每名用户应当设定独立的账号密码。</w:t>
      </w:r>
    </w:p>
    <w:p w:rsidR="002D2CB6" w:rsidRPr="00B82C3B" w:rsidRDefault="00C04FC8" w:rsidP="003D0330">
      <w:pPr>
        <w:spacing w:line="572" w:lineRule="exact"/>
        <w:ind w:firstLineChars="200" w:firstLine="640"/>
        <w:rPr>
          <w:rFonts w:ascii="Times New Roman" w:eastAsia="黑体" w:hAnsi="Times New Roman" w:cs="Times New Roman"/>
          <w:color w:val="000000" w:themeColor="text1"/>
          <w:sz w:val="32"/>
          <w:szCs w:val="32"/>
        </w:rPr>
      </w:pPr>
      <w:r w:rsidRPr="00B82C3B">
        <w:rPr>
          <w:rFonts w:ascii="Times New Roman" w:eastAsia="黑体" w:hAnsi="Times New Roman" w:cs="Times New Roman"/>
          <w:color w:val="000000" w:themeColor="text1"/>
          <w:sz w:val="32"/>
          <w:szCs w:val="32"/>
        </w:rPr>
        <w:lastRenderedPageBreak/>
        <w:t>四</w:t>
      </w:r>
      <w:r w:rsidR="006A4CA4" w:rsidRPr="00B82C3B">
        <w:rPr>
          <w:rFonts w:ascii="Times New Roman" w:eastAsia="黑体" w:hAnsi="Times New Roman" w:cs="Times New Roman"/>
          <w:color w:val="000000" w:themeColor="text1"/>
          <w:sz w:val="32"/>
          <w:szCs w:val="32"/>
        </w:rPr>
        <w:t>、研制现场核查</w:t>
      </w:r>
      <w:r w:rsidR="00400922" w:rsidRPr="00B82C3B">
        <w:rPr>
          <w:rFonts w:ascii="Times New Roman" w:eastAsia="黑体" w:hAnsi="Times New Roman" w:cs="Times New Roman"/>
          <w:color w:val="000000" w:themeColor="text1"/>
          <w:sz w:val="32"/>
          <w:szCs w:val="32"/>
        </w:rPr>
        <w:t>结果</w:t>
      </w:r>
      <w:r w:rsidR="006A4CA4" w:rsidRPr="00B82C3B">
        <w:rPr>
          <w:rFonts w:ascii="Times New Roman" w:eastAsia="黑体" w:hAnsi="Times New Roman" w:cs="Times New Roman"/>
          <w:color w:val="000000" w:themeColor="text1"/>
          <w:sz w:val="32"/>
          <w:szCs w:val="32"/>
        </w:rPr>
        <w:t>判定原则</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（一）对研究过程中原始记录、数据进行核实和</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或实地确认，未发现申报资料真实性、一致性及数据可靠性问题的，核查认定为</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通过</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（二）对研究过程中原始记录、数据进行核实和</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或实地确认，未发现申报资料真实性问题，发现申报资料的部分非关键信息不一致或虽然发现数据可靠性问题但不影响对药品安全性、有效性、质量可控性评价的，</w:t>
      </w:r>
      <w:r w:rsidR="000005C2" w:rsidRPr="00B82C3B">
        <w:rPr>
          <w:rFonts w:ascii="Times New Roman" w:eastAsia="仿宋_GB2312" w:hAnsi="Times New Roman" w:cs="Times New Roman"/>
          <w:color w:val="000000" w:themeColor="text1"/>
          <w:sz w:val="32"/>
          <w:szCs w:val="32"/>
        </w:rPr>
        <w:t>核查认定为</w:t>
      </w:r>
      <w:r w:rsidR="000005C2" w:rsidRPr="00B82C3B">
        <w:rPr>
          <w:rFonts w:ascii="Times New Roman" w:eastAsia="仿宋_GB2312" w:hAnsi="Times New Roman" w:cs="Times New Roman"/>
          <w:color w:val="000000" w:themeColor="text1"/>
          <w:sz w:val="32"/>
          <w:szCs w:val="32"/>
        </w:rPr>
        <w:t>“</w:t>
      </w:r>
      <w:r w:rsidR="005737B3" w:rsidRPr="00B82C3B">
        <w:rPr>
          <w:rFonts w:ascii="Times New Roman" w:eastAsia="仿宋_GB2312" w:hAnsi="Times New Roman" w:cs="Times New Roman"/>
          <w:color w:val="000000" w:themeColor="text1"/>
          <w:sz w:val="32"/>
          <w:szCs w:val="32"/>
        </w:rPr>
        <w:t>需</w:t>
      </w:r>
      <w:r w:rsidR="00C04FC8" w:rsidRPr="00B82C3B">
        <w:rPr>
          <w:rFonts w:ascii="Times New Roman" w:eastAsia="仿宋_GB2312" w:hAnsi="Times New Roman" w:cs="Times New Roman"/>
          <w:color w:val="000000" w:themeColor="text1"/>
          <w:sz w:val="32"/>
          <w:szCs w:val="32"/>
        </w:rPr>
        <w:t>审评</w:t>
      </w:r>
      <w:r w:rsidR="000005C2" w:rsidRPr="00B82C3B">
        <w:rPr>
          <w:rFonts w:ascii="Times New Roman" w:eastAsia="仿宋_GB2312" w:hAnsi="Times New Roman" w:cs="Times New Roman"/>
          <w:color w:val="000000" w:themeColor="text1"/>
          <w:sz w:val="32"/>
          <w:szCs w:val="32"/>
        </w:rPr>
        <w:t>重点</w:t>
      </w:r>
      <w:r w:rsidRPr="00B82C3B">
        <w:rPr>
          <w:rFonts w:ascii="Times New Roman" w:eastAsia="仿宋_GB2312" w:hAnsi="Times New Roman" w:cs="Times New Roman"/>
          <w:color w:val="000000" w:themeColor="text1"/>
          <w:sz w:val="32"/>
          <w:szCs w:val="32"/>
        </w:rPr>
        <w:t>关注</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（三）</w:t>
      </w:r>
      <w:r w:rsidR="00C04FC8" w:rsidRPr="00B82C3B">
        <w:rPr>
          <w:rFonts w:ascii="Times New Roman" w:eastAsia="仿宋_GB2312" w:hAnsi="Times New Roman" w:cs="Times New Roman"/>
          <w:color w:val="000000" w:themeColor="text1"/>
          <w:sz w:val="32"/>
          <w:szCs w:val="32"/>
        </w:rPr>
        <w:t>对研究过程中原始记录、数据进行核实和</w:t>
      </w:r>
      <w:r w:rsidR="00C04FC8" w:rsidRPr="00B82C3B">
        <w:rPr>
          <w:rFonts w:ascii="Times New Roman" w:eastAsia="仿宋_GB2312" w:hAnsi="Times New Roman" w:cs="Times New Roman"/>
          <w:color w:val="000000" w:themeColor="text1"/>
          <w:sz w:val="32"/>
          <w:szCs w:val="32"/>
        </w:rPr>
        <w:t>/</w:t>
      </w:r>
      <w:r w:rsidR="00C04FC8" w:rsidRPr="00B82C3B">
        <w:rPr>
          <w:rFonts w:ascii="Times New Roman" w:eastAsia="仿宋_GB2312" w:hAnsi="Times New Roman" w:cs="Times New Roman"/>
          <w:color w:val="000000" w:themeColor="text1"/>
          <w:sz w:val="32"/>
          <w:szCs w:val="32"/>
        </w:rPr>
        <w:t>或实地确认，</w:t>
      </w:r>
      <w:r w:rsidRPr="00B82C3B">
        <w:rPr>
          <w:rFonts w:ascii="Times New Roman" w:eastAsia="仿宋_GB2312" w:hAnsi="Times New Roman" w:cs="Times New Roman"/>
          <w:color w:val="000000" w:themeColor="text1"/>
          <w:sz w:val="32"/>
          <w:szCs w:val="32"/>
        </w:rPr>
        <w:t>发现以下情形之一的，核查认定为</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不通过</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1.</w:t>
      </w:r>
      <w:r w:rsidRPr="00B82C3B">
        <w:rPr>
          <w:rFonts w:ascii="Times New Roman" w:eastAsia="仿宋_GB2312" w:hAnsi="Times New Roman" w:cs="Times New Roman"/>
          <w:color w:val="000000" w:themeColor="text1"/>
          <w:sz w:val="32"/>
          <w:szCs w:val="32"/>
        </w:rPr>
        <w:t>发现真实性问题或申报资料真实性存疑，申请人不能证明其真实性的；</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2.</w:t>
      </w:r>
      <w:r w:rsidRPr="00B82C3B">
        <w:rPr>
          <w:rFonts w:ascii="Times New Roman" w:eastAsia="仿宋_GB2312" w:hAnsi="Times New Roman" w:cs="Times New Roman"/>
          <w:color w:val="000000" w:themeColor="text1"/>
          <w:sz w:val="32"/>
          <w:szCs w:val="32"/>
        </w:rPr>
        <w:t>关键研究活动、数据缺少原始记录导致无法溯源的；</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3.</w:t>
      </w:r>
      <w:r w:rsidRPr="00B82C3B">
        <w:rPr>
          <w:rFonts w:ascii="Times New Roman" w:eastAsia="仿宋_GB2312" w:hAnsi="Times New Roman" w:cs="Times New Roman"/>
          <w:color w:val="000000" w:themeColor="text1"/>
          <w:sz w:val="32"/>
          <w:szCs w:val="32"/>
        </w:rPr>
        <w:t>发现与申报资料不一致，可能影响质量评价的；</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4.</w:t>
      </w:r>
      <w:r w:rsidRPr="00B82C3B">
        <w:rPr>
          <w:rFonts w:ascii="Times New Roman" w:eastAsia="仿宋_GB2312" w:hAnsi="Times New Roman" w:cs="Times New Roman"/>
          <w:color w:val="000000" w:themeColor="text1"/>
          <w:sz w:val="32"/>
          <w:szCs w:val="32"/>
        </w:rPr>
        <w:t>存在严重的数据可靠性问题，导致对药品安全性、有效性、质量可控性的评价产生影响的；</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5.</w:t>
      </w:r>
      <w:r w:rsidRPr="00B82C3B">
        <w:rPr>
          <w:rFonts w:ascii="Times New Roman" w:eastAsia="仿宋_GB2312" w:hAnsi="Times New Roman" w:cs="Times New Roman"/>
          <w:color w:val="000000" w:themeColor="text1"/>
          <w:sz w:val="32"/>
          <w:szCs w:val="32"/>
        </w:rPr>
        <w:t>拒绝、不配合核查，导致无法继续进行现场核查的。</w:t>
      </w:r>
    </w:p>
    <w:p w:rsidR="002D2CB6" w:rsidRPr="00B82C3B" w:rsidRDefault="00C04FC8" w:rsidP="003D0330">
      <w:pPr>
        <w:spacing w:line="572" w:lineRule="exact"/>
        <w:ind w:firstLineChars="200" w:firstLine="640"/>
        <w:rPr>
          <w:rFonts w:ascii="Times New Roman" w:eastAsia="黑体" w:hAnsi="Times New Roman" w:cs="Times New Roman"/>
          <w:color w:val="000000" w:themeColor="text1"/>
          <w:sz w:val="32"/>
          <w:szCs w:val="32"/>
        </w:rPr>
      </w:pPr>
      <w:r w:rsidRPr="00B82C3B">
        <w:rPr>
          <w:rFonts w:ascii="Times New Roman" w:eastAsia="黑体" w:hAnsi="Times New Roman" w:cs="Times New Roman"/>
          <w:color w:val="000000" w:themeColor="text1"/>
          <w:sz w:val="32"/>
          <w:szCs w:val="32"/>
        </w:rPr>
        <w:t>五</w:t>
      </w:r>
      <w:r w:rsidR="006A4CA4" w:rsidRPr="00B82C3B">
        <w:rPr>
          <w:rFonts w:ascii="Times New Roman" w:eastAsia="黑体" w:hAnsi="Times New Roman" w:cs="Times New Roman"/>
          <w:color w:val="000000" w:themeColor="text1"/>
          <w:sz w:val="32"/>
          <w:szCs w:val="32"/>
        </w:rPr>
        <w:t>、生产现场核查要点</w:t>
      </w:r>
    </w:p>
    <w:p w:rsidR="002D2CB6" w:rsidRPr="00B82C3B" w:rsidRDefault="006A4CA4" w:rsidP="003D0330">
      <w:pPr>
        <w:spacing w:line="572" w:lineRule="exact"/>
        <w:ind w:firstLineChars="200" w:firstLine="640"/>
        <w:rPr>
          <w:rFonts w:ascii="Times New Roman" w:eastAsia="楷体_GB2312" w:hAnsi="Times New Roman" w:cs="Times New Roman"/>
          <w:color w:val="000000" w:themeColor="text1"/>
          <w:sz w:val="32"/>
          <w:szCs w:val="32"/>
        </w:rPr>
      </w:pPr>
      <w:r w:rsidRPr="00B82C3B">
        <w:rPr>
          <w:rFonts w:ascii="Times New Roman" w:eastAsia="楷体_GB2312" w:hAnsi="Times New Roman" w:cs="Times New Roman"/>
          <w:color w:val="000000" w:themeColor="text1"/>
          <w:sz w:val="32"/>
          <w:szCs w:val="32"/>
        </w:rPr>
        <w:t>（一）质量管理</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药品生产企业应具备涵盖影响药品质量所有因素的质量体系，具有与药品生产相适应的组织机构，并建立质量保证系统以保证质量体系的有效运行。</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lastRenderedPageBreak/>
        <w:t>1.</w:t>
      </w:r>
      <w:r w:rsidRPr="00B82C3B">
        <w:rPr>
          <w:rFonts w:ascii="Times New Roman" w:eastAsia="仿宋_GB2312" w:hAnsi="Times New Roman" w:cs="Times New Roman"/>
          <w:color w:val="000000" w:themeColor="text1"/>
          <w:sz w:val="32"/>
          <w:szCs w:val="32"/>
        </w:rPr>
        <w:t>质量管理应当涵盖影响药品质量的所有因素，确保生产的产品符合申报工艺和质量要求，并最大限度地降低药品生产过程中污染、交叉污染以及混淆、差错等风险。</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2.</w:t>
      </w:r>
      <w:r w:rsidRPr="00B82C3B">
        <w:rPr>
          <w:rFonts w:ascii="Times New Roman" w:eastAsia="仿宋_GB2312" w:hAnsi="Times New Roman" w:cs="Times New Roman"/>
          <w:color w:val="000000" w:themeColor="text1"/>
          <w:sz w:val="32"/>
          <w:szCs w:val="32"/>
        </w:rPr>
        <w:t>企业高层管理人员应当确保实现既定的质量目标，并为实现质量目标提供足够的、符合要求的人员、厂房、设施和设备。</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3.</w:t>
      </w:r>
      <w:r w:rsidRPr="00B82C3B">
        <w:rPr>
          <w:rFonts w:ascii="Times New Roman" w:eastAsia="仿宋_GB2312" w:hAnsi="Times New Roman" w:cs="Times New Roman"/>
          <w:color w:val="000000" w:themeColor="text1"/>
          <w:sz w:val="32"/>
          <w:szCs w:val="32"/>
        </w:rPr>
        <w:t>企业应当建立与药品生产相适应的管理机构，明确各部门职责，确保技术转移合理并可追溯。</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4.</w:t>
      </w:r>
      <w:r w:rsidRPr="00B82C3B">
        <w:rPr>
          <w:rFonts w:ascii="Times New Roman" w:eastAsia="仿宋_GB2312" w:hAnsi="Times New Roman" w:cs="Times New Roman"/>
          <w:color w:val="000000" w:themeColor="text1"/>
          <w:sz w:val="32"/>
          <w:szCs w:val="32"/>
        </w:rPr>
        <w:t>企业应当配备足够数量的并具有适当资质的管理和操作人员。关键人员、关键岗位人员应经培训并了解本产品知识，关键岗位人员必须熟悉本产品的关键质量控制、关键生产操作要求。</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5.</w:t>
      </w:r>
      <w:r w:rsidRPr="00B82C3B">
        <w:rPr>
          <w:rFonts w:ascii="Times New Roman" w:eastAsia="仿宋_GB2312" w:hAnsi="Times New Roman" w:cs="Times New Roman"/>
          <w:color w:val="000000" w:themeColor="text1"/>
          <w:sz w:val="32"/>
          <w:szCs w:val="32"/>
        </w:rPr>
        <w:t>企业应当建立满足本产品生产质量要求的管理文件，包括产品技术转移管理文件、药品生产质量管理规范相关生产质量文件以及产品研发资料的管理文件等。</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6.</w:t>
      </w:r>
      <w:r w:rsidRPr="00B82C3B">
        <w:rPr>
          <w:rFonts w:ascii="Times New Roman" w:eastAsia="仿宋_GB2312" w:hAnsi="Times New Roman" w:cs="Times New Roman"/>
          <w:color w:val="000000" w:themeColor="text1"/>
          <w:sz w:val="32"/>
          <w:szCs w:val="32"/>
        </w:rPr>
        <w:t>企业应当按照药品生产质量管理规范要求，建立变更控制、偏差管理、供应商管理、检验结果超标处理等相应管理标准操作规程，并按规程实施。所采用的方法、措施、形式及形成的文件应当与药品研发生命周期相适应。</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7.</w:t>
      </w:r>
      <w:r w:rsidRPr="00B82C3B">
        <w:rPr>
          <w:rFonts w:ascii="Times New Roman" w:eastAsia="仿宋_GB2312" w:hAnsi="Times New Roman" w:cs="Times New Roman"/>
          <w:color w:val="000000" w:themeColor="text1"/>
          <w:sz w:val="32"/>
          <w:szCs w:val="32"/>
        </w:rPr>
        <w:t>企业应当建立质量风险管理系统，根据科学知识及经验对质量风险进行评估，以保证产品质量。</w:t>
      </w:r>
    </w:p>
    <w:p w:rsidR="002D2CB6" w:rsidRPr="00B82C3B" w:rsidRDefault="006A4CA4" w:rsidP="003D0330">
      <w:pPr>
        <w:spacing w:line="572" w:lineRule="exact"/>
        <w:ind w:firstLineChars="200" w:firstLine="640"/>
        <w:rPr>
          <w:rFonts w:ascii="Times New Roman" w:eastAsia="楷体_GB2312" w:hAnsi="Times New Roman" w:cs="Times New Roman"/>
          <w:color w:val="000000" w:themeColor="text1"/>
          <w:sz w:val="32"/>
          <w:szCs w:val="32"/>
        </w:rPr>
      </w:pPr>
      <w:r w:rsidRPr="00B82C3B">
        <w:rPr>
          <w:rFonts w:ascii="Times New Roman" w:eastAsia="楷体_GB2312" w:hAnsi="Times New Roman" w:cs="Times New Roman"/>
          <w:color w:val="000000" w:themeColor="text1"/>
          <w:sz w:val="32"/>
          <w:szCs w:val="32"/>
        </w:rPr>
        <w:t>（二）厂房与设施、设备</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lastRenderedPageBreak/>
        <w:t>企业的厂房、设施、关键生产设备应当与注册申报资料一致，并与商业化批量生产匹配，药品生产过程中防止污染与交叉污染的措施应当有效。</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1.</w:t>
      </w:r>
      <w:r w:rsidRPr="00B82C3B">
        <w:rPr>
          <w:rFonts w:ascii="Times New Roman" w:eastAsia="仿宋_GB2312" w:hAnsi="Times New Roman" w:cs="Times New Roman"/>
          <w:color w:val="000000" w:themeColor="text1"/>
          <w:sz w:val="32"/>
          <w:szCs w:val="32"/>
        </w:rPr>
        <w:t>生产厂房与设施、仓储条件等应满足样品商业化批量生产要求，关键生产设备生产能力与商业化批量生产相匹配。</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2.</w:t>
      </w:r>
      <w:r w:rsidRPr="00B82C3B">
        <w:rPr>
          <w:rFonts w:ascii="Times New Roman" w:eastAsia="仿宋_GB2312" w:hAnsi="Times New Roman" w:cs="Times New Roman"/>
          <w:color w:val="000000" w:themeColor="text1"/>
          <w:sz w:val="32"/>
          <w:szCs w:val="32"/>
        </w:rPr>
        <w:t>为增加注册申报品种的生产，原有厂房与设施、设备应当进行评估，必要时还应进行相应的变更。如为新建企业或车间，批量生产前与产品生产相关的厂房与设施、关键生产设备应经确认</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包括设计确认、安装确认、运行确认和性能确认。</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3.</w:t>
      </w:r>
      <w:r w:rsidRPr="00B82C3B">
        <w:rPr>
          <w:rFonts w:ascii="Times New Roman" w:eastAsia="仿宋_GB2312" w:hAnsi="Times New Roman" w:cs="Times New Roman"/>
          <w:color w:val="000000" w:themeColor="text1"/>
          <w:sz w:val="32"/>
          <w:szCs w:val="32"/>
        </w:rPr>
        <w:t>如非专用生产线，应当评估共线品种的合理性，评估共线生产带来的污染与交叉污染的风险</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并采取防止污染与交叉污染的有效措施；应当建立有效的清洁程序并经验证，其活性物质残留限度标准建立应当基于毒理实验数据或毒理学文献资料的评估。</w:t>
      </w:r>
    </w:p>
    <w:p w:rsidR="002D2CB6" w:rsidRPr="00B82C3B" w:rsidRDefault="006A4CA4" w:rsidP="003D0330">
      <w:pPr>
        <w:spacing w:line="572" w:lineRule="exact"/>
        <w:ind w:firstLineChars="200" w:firstLine="640"/>
        <w:rPr>
          <w:rFonts w:ascii="Times New Roman" w:eastAsia="楷体_GB2312" w:hAnsi="Times New Roman" w:cs="Times New Roman"/>
          <w:color w:val="000000" w:themeColor="text1"/>
          <w:sz w:val="32"/>
          <w:szCs w:val="32"/>
        </w:rPr>
      </w:pPr>
      <w:r w:rsidRPr="00B82C3B">
        <w:rPr>
          <w:rFonts w:ascii="Times New Roman" w:eastAsia="楷体_GB2312" w:hAnsi="Times New Roman" w:cs="Times New Roman"/>
          <w:sz w:val="32"/>
          <w:szCs w:val="32"/>
        </w:rPr>
        <w:t>（三）</w:t>
      </w:r>
      <w:r w:rsidRPr="00B82C3B">
        <w:rPr>
          <w:rFonts w:ascii="Times New Roman" w:eastAsia="楷体_GB2312" w:hAnsi="Times New Roman" w:cs="Times New Roman"/>
          <w:color w:val="000000" w:themeColor="text1"/>
          <w:sz w:val="32"/>
          <w:szCs w:val="32"/>
        </w:rPr>
        <w:t>物料</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涉及相关物料的采购、接收、贮存、检验、放行、发放、使用、退库、销毁全过程，应当确保物料在上述过程不发生污染、交叉污染、混淆和差错。</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1.</w:t>
      </w:r>
      <w:r w:rsidRPr="00B82C3B">
        <w:rPr>
          <w:rFonts w:ascii="Times New Roman" w:eastAsia="仿宋_GB2312" w:hAnsi="Times New Roman" w:cs="Times New Roman"/>
          <w:color w:val="000000" w:themeColor="text1"/>
          <w:sz w:val="32"/>
          <w:szCs w:val="32"/>
        </w:rPr>
        <w:t>生产过程所需的原辅料</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关键物料（包括生物制品所用的菌毒种、细胞、血浆、佐剂、培养基等）和包装材料等应有相应管理制度并遵照执行。</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2.</w:t>
      </w:r>
      <w:r w:rsidRPr="00B82C3B">
        <w:rPr>
          <w:rFonts w:ascii="Times New Roman" w:eastAsia="仿宋_GB2312" w:hAnsi="Times New Roman" w:cs="Times New Roman"/>
          <w:color w:val="000000" w:themeColor="text1"/>
          <w:sz w:val="32"/>
          <w:szCs w:val="32"/>
        </w:rPr>
        <w:t>能够按照管理规程对产品生产所用的原辅料、直接接触</w:t>
      </w:r>
      <w:r w:rsidRPr="00B82C3B">
        <w:rPr>
          <w:rFonts w:ascii="Times New Roman" w:eastAsia="仿宋_GB2312" w:hAnsi="Times New Roman" w:cs="Times New Roman"/>
          <w:color w:val="000000" w:themeColor="text1"/>
          <w:sz w:val="32"/>
          <w:szCs w:val="32"/>
        </w:rPr>
        <w:lastRenderedPageBreak/>
        <w:t>药品的包装材料和容器的供应商进行审计和管理。</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3.</w:t>
      </w:r>
      <w:r w:rsidRPr="00B82C3B">
        <w:rPr>
          <w:rFonts w:ascii="Times New Roman" w:eastAsia="仿宋_GB2312" w:hAnsi="Times New Roman" w:cs="Times New Roman"/>
          <w:color w:val="000000" w:themeColor="text1"/>
          <w:sz w:val="32"/>
          <w:szCs w:val="32"/>
        </w:rPr>
        <w:t>原辅料和直接接触药品的包装材料和容器的质量标准、生产商</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来源应当与注册申报资料一致，按照相关标准操作规程进行取样和检验，并出具全项检验报告。</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各级菌毒种种子批、细胞库的建立、检验、放行等应符合申报资料要求。</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4.</w:t>
      </w:r>
      <w:r w:rsidRPr="00B82C3B">
        <w:rPr>
          <w:rFonts w:ascii="Times New Roman" w:eastAsia="仿宋_GB2312" w:hAnsi="Times New Roman" w:cs="Times New Roman"/>
          <w:color w:val="000000" w:themeColor="text1"/>
          <w:sz w:val="32"/>
          <w:szCs w:val="32"/>
        </w:rPr>
        <w:t>原辅料和直接接触药品的包装材料和容器应按照相应要求进行储存、使用和管理，并制定合理的储存期限。</w:t>
      </w:r>
    </w:p>
    <w:p w:rsidR="002D2CB6" w:rsidRPr="00B82C3B" w:rsidRDefault="006A4CA4" w:rsidP="003D0330">
      <w:pPr>
        <w:spacing w:line="572" w:lineRule="exact"/>
        <w:ind w:firstLineChars="200" w:firstLine="640"/>
        <w:rPr>
          <w:rFonts w:ascii="Times New Roman" w:eastAsia="楷体_GB2312" w:hAnsi="Times New Roman" w:cs="Times New Roman"/>
          <w:color w:val="000000" w:themeColor="text1"/>
          <w:sz w:val="32"/>
          <w:szCs w:val="32"/>
        </w:rPr>
      </w:pPr>
      <w:r w:rsidRPr="00B82C3B">
        <w:rPr>
          <w:rFonts w:ascii="Times New Roman" w:eastAsia="楷体_GB2312" w:hAnsi="Times New Roman" w:cs="Times New Roman"/>
          <w:color w:val="000000" w:themeColor="text1"/>
          <w:sz w:val="32"/>
          <w:szCs w:val="32"/>
        </w:rPr>
        <w:t>（四）批量生产</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以商业化规模的工艺验证为起始，确认企业生产工艺与注册资料的一致性，以及持续稳定生产出符合注册要求产品的能力。</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1.</w:t>
      </w:r>
      <w:r w:rsidRPr="00B82C3B">
        <w:rPr>
          <w:rFonts w:ascii="Times New Roman" w:eastAsia="仿宋_GB2312" w:hAnsi="Times New Roman" w:cs="Times New Roman"/>
          <w:color w:val="000000" w:themeColor="text1"/>
          <w:sz w:val="32"/>
          <w:szCs w:val="32"/>
        </w:rPr>
        <w:t>商业化规模的工艺验证批等关键批次及现场动态生产批次（如有）的处方、批量、实际生产过程、批生产记录应与工艺规程</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制造检定规程和注册申报工艺一致。</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工艺验证数据应当支持批量生产的关键工艺参数，并在规定范围内。如有工艺验证批次之外的其他试制批次，应当能追溯产品的历史生产工艺数据以及与产品相关的质量情况。</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2.</w:t>
      </w:r>
      <w:r w:rsidRPr="00B82C3B">
        <w:rPr>
          <w:rFonts w:ascii="Times New Roman" w:eastAsia="仿宋_GB2312" w:hAnsi="Times New Roman" w:cs="Times New Roman"/>
          <w:color w:val="000000" w:themeColor="text1"/>
          <w:sz w:val="32"/>
          <w:szCs w:val="32"/>
        </w:rPr>
        <w:t>批生产记录、设备使用记录、物料领用记录、检验记录等各项记录信息应当一致，并具有可追溯性。</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3.</w:t>
      </w:r>
      <w:r w:rsidRPr="00B82C3B">
        <w:rPr>
          <w:rFonts w:ascii="Times New Roman" w:eastAsia="仿宋_GB2312" w:hAnsi="Times New Roman" w:cs="Times New Roman"/>
          <w:color w:val="000000" w:themeColor="text1"/>
          <w:sz w:val="32"/>
          <w:szCs w:val="32"/>
        </w:rPr>
        <w:t>中药材前处理、炮制方法等应与申报资料一致，并在产品工艺规程中明确，如外购饮片，质量协议应明确前处理、炮</w:t>
      </w:r>
      <w:r w:rsidRPr="00B82C3B">
        <w:rPr>
          <w:rFonts w:ascii="Times New Roman" w:eastAsia="仿宋_GB2312" w:hAnsi="Times New Roman" w:cs="Times New Roman"/>
          <w:color w:val="000000" w:themeColor="text1"/>
          <w:sz w:val="32"/>
          <w:szCs w:val="32"/>
        </w:rPr>
        <w:lastRenderedPageBreak/>
        <w:t>制的要求。</w:t>
      </w:r>
    </w:p>
    <w:p w:rsidR="002D2CB6" w:rsidRPr="00B82C3B" w:rsidRDefault="006A4CA4" w:rsidP="003D0330">
      <w:pPr>
        <w:spacing w:line="572" w:lineRule="exact"/>
        <w:ind w:firstLineChars="200" w:firstLine="640"/>
        <w:rPr>
          <w:rFonts w:ascii="Times New Roman" w:eastAsia="楷体_GB2312" w:hAnsi="Times New Roman" w:cs="Times New Roman"/>
          <w:color w:val="000000" w:themeColor="text1"/>
          <w:sz w:val="32"/>
          <w:szCs w:val="32"/>
        </w:rPr>
      </w:pPr>
      <w:r w:rsidRPr="00B82C3B">
        <w:rPr>
          <w:rFonts w:ascii="Times New Roman" w:eastAsia="楷体_GB2312" w:hAnsi="Times New Roman" w:cs="Times New Roman"/>
          <w:color w:val="000000" w:themeColor="text1"/>
          <w:sz w:val="32"/>
          <w:szCs w:val="32"/>
        </w:rPr>
        <w:t>（五）质量控制</w:t>
      </w:r>
    </w:p>
    <w:p w:rsidR="002D2CB6" w:rsidRPr="00B82C3B" w:rsidRDefault="006A4CA4" w:rsidP="003D0330">
      <w:pPr>
        <w:spacing w:line="572" w:lineRule="exact"/>
        <w:ind w:leftChars="76" w:left="160" w:firstLineChars="150" w:firstLine="48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质量控制实验室的人员、设施、设备应当与产品质量控制相适应，应当配备药典、标准图谱等必要的工具书，以及相应的标准品或对照品等相关标准物质。企业应当建立相应质量控制制度，按药品生产质量管理规范要求进行取样、检验，并得出真实可靠的检验结果。</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1.</w:t>
      </w:r>
      <w:r w:rsidRPr="00B82C3B">
        <w:rPr>
          <w:rFonts w:ascii="Times New Roman" w:eastAsia="仿宋_GB2312" w:hAnsi="Times New Roman" w:cs="Times New Roman"/>
          <w:color w:val="000000" w:themeColor="text1"/>
          <w:sz w:val="32"/>
          <w:szCs w:val="32"/>
        </w:rPr>
        <w:t>检验设施设备仪器应经过检定或校准，并在有效期内，使用记录可溯源。</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2.</w:t>
      </w:r>
      <w:r w:rsidRPr="00B82C3B">
        <w:rPr>
          <w:rFonts w:ascii="Times New Roman" w:eastAsia="仿宋_GB2312" w:hAnsi="Times New Roman" w:cs="Times New Roman"/>
          <w:color w:val="000000" w:themeColor="text1"/>
          <w:sz w:val="32"/>
          <w:szCs w:val="32"/>
        </w:rPr>
        <w:t>样品、标准物质、试剂、菌种等应按照规定管理和使用。</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3.</w:t>
      </w:r>
      <w:r w:rsidRPr="00B82C3B">
        <w:rPr>
          <w:rFonts w:ascii="Times New Roman" w:eastAsia="仿宋_GB2312" w:hAnsi="Times New Roman" w:cs="Times New Roman"/>
          <w:color w:val="000000" w:themeColor="text1"/>
          <w:sz w:val="32"/>
          <w:szCs w:val="32"/>
        </w:rPr>
        <w:t>样品、中间产品</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中间体和关键物料的质量标准应当与申报的质量标准一致，并按要求进行检验。检验方法应按规定经过方法学验证或确认。</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4.</w:t>
      </w:r>
      <w:r w:rsidRPr="00B82C3B">
        <w:rPr>
          <w:rFonts w:ascii="Times New Roman" w:eastAsia="仿宋_GB2312" w:hAnsi="Times New Roman" w:cs="Times New Roman"/>
          <w:color w:val="000000" w:themeColor="text1"/>
          <w:sz w:val="32"/>
          <w:szCs w:val="32"/>
        </w:rPr>
        <w:t>产品应当按规定进行稳定性试验；有存放效期的中间产品</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中间体，必要时也应当进行相应研究。</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5.</w:t>
      </w:r>
      <w:r w:rsidRPr="00B82C3B">
        <w:rPr>
          <w:rFonts w:ascii="Times New Roman" w:eastAsia="仿宋_GB2312" w:hAnsi="Times New Roman" w:cs="Times New Roman"/>
          <w:color w:val="000000" w:themeColor="text1"/>
          <w:sz w:val="32"/>
          <w:szCs w:val="32"/>
        </w:rPr>
        <w:t>如有委托检验，双方应签订合同或协议，委托方应进行审计，确保受托方提供的数据可靠。</w:t>
      </w:r>
    </w:p>
    <w:p w:rsidR="002D2CB6" w:rsidRPr="00B82C3B" w:rsidRDefault="006A4CA4" w:rsidP="003D0330">
      <w:pPr>
        <w:widowControl/>
        <w:spacing w:line="572" w:lineRule="exact"/>
        <w:ind w:firstLineChars="200" w:firstLine="640"/>
        <w:rPr>
          <w:rFonts w:ascii="Times New Roman" w:eastAsia="楷体_GB2312" w:hAnsi="Times New Roman" w:cs="Times New Roman"/>
          <w:color w:val="000000" w:themeColor="text1"/>
          <w:sz w:val="32"/>
          <w:szCs w:val="32"/>
        </w:rPr>
      </w:pPr>
      <w:r w:rsidRPr="00B82C3B">
        <w:rPr>
          <w:rFonts w:ascii="Times New Roman" w:eastAsia="楷体_GB2312" w:hAnsi="Times New Roman" w:cs="Times New Roman"/>
          <w:color w:val="000000" w:themeColor="text1"/>
          <w:sz w:val="32"/>
          <w:szCs w:val="32"/>
        </w:rPr>
        <w:t>（六）数据可靠性</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企业应当采取有效措施防止数据的修改、删除、覆盖等，以确保数据可靠。申报资料中的数据均应真实、准确，能够溯源，相关的原始记录、原始图谱、原始数据等均应与申报资料一致。其中，工艺验证及其稳定性试验等生产、检验数据尤为</w:t>
      </w:r>
      <w:r w:rsidRPr="00B82C3B">
        <w:rPr>
          <w:rFonts w:ascii="Times New Roman" w:eastAsia="仿宋_GB2312" w:hAnsi="Times New Roman" w:cs="Times New Roman"/>
          <w:color w:val="000000" w:themeColor="text1"/>
          <w:sz w:val="32"/>
          <w:szCs w:val="32"/>
        </w:rPr>
        <w:lastRenderedPageBreak/>
        <w:t>重要。</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1.</w:t>
      </w:r>
      <w:r w:rsidRPr="00B82C3B">
        <w:rPr>
          <w:rFonts w:ascii="Times New Roman" w:eastAsia="仿宋_GB2312" w:hAnsi="Times New Roman" w:cs="Times New Roman"/>
          <w:color w:val="000000" w:themeColor="text1"/>
          <w:sz w:val="32"/>
          <w:szCs w:val="32"/>
        </w:rPr>
        <w:t>相关原始记录，尤其是原始电子数据应与申报资料中的纸质数据一致。数据应当清晰、可读、易懂、可追溯，数据保存应当确保能够完整地重现数据产生的步骤和顺序。</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2.</w:t>
      </w:r>
      <w:r w:rsidRPr="00B82C3B">
        <w:rPr>
          <w:rFonts w:ascii="Times New Roman" w:eastAsia="仿宋_GB2312" w:hAnsi="Times New Roman" w:cs="Times New Roman"/>
          <w:color w:val="000000" w:themeColor="text1"/>
          <w:sz w:val="32"/>
          <w:szCs w:val="32"/>
        </w:rPr>
        <w:t>根据生产、检验或其他相关记录中的签名能够追溯</w:t>
      </w:r>
      <w:proofErr w:type="gramStart"/>
      <w:r w:rsidRPr="00B82C3B">
        <w:rPr>
          <w:rFonts w:ascii="Times New Roman" w:eastAsia="仿宋_GB2312" w:hAnsi="Times New Roman" w:cs="Times New Roman"/>
          <w:color w:val="000000" w:themeColor="text1"/>
          <w:sz w:val="32"/>
          <w:szCs w:val="32"/>
        </w:rPr>
        <w:t>至数据</w:t>
      </w:r>
      <w:proofErr w:type="gramEnd"/>
      <w:r w:rsidRPr="00B82C3B">
        <w:rPr>
          <w:rFonts w:ascii="Times New Roman" w:eastAsia="仿宋_GB2312" w:hAnsi="Times New Roman" w:cs="Times New Roman"/>
          <w:color w:val="000000" w:themeColor="text1"/>
          <w:sz w:val="32"/>
          <w:szCs w:val="32"/>
        </w:rPr>
        <w:t>的创建者、修改人员及其他操作人员。</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3.</w:t>
      </w:r>
      <w:r w:rsidRPr="00B82C3B">
        <w:rPr>
          <w:rFonts w:ascii="Times New Roman" w:eastAsia="仿宋_GB2312" w:hAnsi="Times New Roman" w:cs="Times New Roman"/>
          <w:color w:val="000000" w:themeColor="text1"/>
          <w:sz w:val="32"/>
          <w:szCs w:val="32"/>
        </w:rPr>
        <w:t>生产和检验所用计算机化系统应当经过验证，其数据相关用户分级管理与权限应设置合理。</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4.</w:t>
      </w:r>
      <w:r w:rsidRPr="00B82C3B">
        <w:rPr>
          <w:rFonts w:ascii="Times New Roman" w:eastAsia="仿宋_GB2312" w:hAnsi="Times New Roman" w:cs="Times New Roman"/>
          <w:color w:val="000000" w:themeColor="text1"/>
          <w:sz w:val="32"/>
          <w:szCs w:val="32"/>
        </w:rPr>
        <w:t>关键批次的关键数据产生应使用数据审计跟踪系统确保数据可靠性。不具备数据审计跟踪功能的分析仪器，应有足够的措施保证其数据可靠性。</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5.</w:t>
      </w:r>
      <w:r w:rsidRPr="00B82C3B">
        <w:rPr>
          <w:rFonts w:ascii="Times New Roman" w:eastAsia="仿宋_GB2312" w:hAnsi="Times New Roman" w:cs="Times New Roman"/>
          <w:color w:val="000000" w:themeColor="text1"/>
          <w:sz w:val="32"/>
          <w:szCs w:val="32"/>
        </w:rPr>
        <w:t>质量研究各项目，例如溶出度</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释放度、有关物质、含量</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效价等关键质量属性研究的原始记录、实验图谱及实验方法学考察内容，其原始数据应完整可靠，电子数据格式应与所用的仪器设备匹配。</w:t>
      </w:r>
    </w:p>
    <w:p w:rsidR="002D2CB6" w:rsidRPr="00B82C3B" w:rsidRDefault="00C04FC8" w:rsidP="003D0330">
      <w:pPr>
        <w:spacing w:line="572" w:lineRule="exact"/>
        <w:ind w:firstLineChars="200" w:firstLine="640"/>
        <w:rPr>
          <w:rFonts w:ascii="Times New Roman" w:eastAsia="黑体" w:hAnsi="Times New Roman" w:cs="Times New Roman"/>
          <w:color w:val="000000" w:themeColor="text1"/>
          <w:sz w:val="32"/>
          <w:szCs w:val="32"/>
        </w:rPr>
      </w:pPr>
      <w:r w:rsidRPr="00B82C3B">
        <w:rPr>
          <w:rFonts w:ascii="Times New Roman" w:eastAsia="黑体" w:hAnsi="Times New Roman" w:cs="Times New Roman"/>
          <w:color w:val="000000" w:themeColor="text1"/>
          <w:sz w:val="32"/>
          <w:szCs w:val="32"/>
        </w:rPr>
        <w:t>六</w:t>
      </w:r>
      <w:r w:rsidR="006A4CA4" w:rsidRPr="00B82C3B">
        <w:rPr>
          <w:rFonts w:ascii="Times New Roman" w:eastAsia="黑体" w:hAnsi="Times New Roman" w:cs="Times New Roman"/>
          <w:color w:val="000000" w:themeColor="text1"/>
          <w:sz w:val="32"/>
          <w:szCs w:val="32"/>
        </w:rPr>
        <w:t>、生产现场核查</w:t>
      </w:r>
      <w:r w:rsidR="00400922" w:rsidRPr="00B82C3B">
        <w:rPr>
          <w:rFonts w:ascii="Times New Roman" w:eastAsia="黑体" w:hAnsi="Times New Roman" w:cs="Times New Roman"/>
          <w:color w:val="000000" w:themeColor="text1"/>
          <w:sz w:val="32"/>
          <w:szCs w:val="32"/>
        </w:rPr>
        <w:t>结果</w:t>
      </w:r>
      <w:r w:rsidR="006A4CA4" w:rsidRPr="00B82C3B">
        <w:rPr>
          <w:rFonts w:ascii="Times New Roman" w:eastAsia="黑体" w:hAnsi="Times New Roman" w:cs="Times New Roman"/>
          <w:color w:val="000000" w:themeColor="text1"/>
          <w:sz w:val="32"/>
          <w:szCs w:val="32"/>
        </w:rPr>
        <w:t>判定原则</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根据《药品管理法》、《疫苗管理法》、《药品注册管理办法》、《药品生产监督管理办法》等法律法规，生产现场核查的判定原则制定如下：</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（一）生产过程及条件经实地确证，以及对生产过程中原始记录、数据进行核实，未发现真实性、数据可靠性、或与申报资料不一致的问题，具备药品上市商业化生产条件的，核查</w:t>
      </w:r>
      <w:r w:rsidRPr="00B82C3B">
        <w:rPr>
          <w:rFonts w:ascii="Times New Roman" w:eastAsia="仿宋_GB2312" w:hAnsi="Times New Roman" w:cs="Times New Roman"/>
          <w:color w:val="000000" w:themeColor="text1"/>
          <w:sz w:val="32"/>
          <w:szCs w:val="32"/>
        </w:rPr>
        <w:lastRenderedPageBreak/>
        <w:t>认定为</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通过</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w:t>
      </w:r>
    </w:p>
    <w:p w:rsidR="002D2CB6" w:rsidRPr="00B82C3B" w:rsidRDefault="006A4CA4" w:rsidP="003D0330">
      <w:pPr>
        <w:spacing w:line="572" w:lineRule="exact"/>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 xml:space="preserve"> </w:t>
      </w:r>
      <w:r w:rsidRPr="00B82C3B">
        <w:rPr>
          <w:rFonts w:ascii="Times New Roman" w:eastAsia="仿宋_GB2312" w:hAnsi="Times New Roman" w:cs="Times New Roman"/>
          <w:color w:val="0000FF"/>
          <w:sz w:val="32"/>
          <w:szCs w:val="32"/>
        </w:rPr>
        <w:t xml:space="preserve">   </w:t>
      </w:r>
      <w:r w:rsidRPr="00B82C3B">
        <w:rPr>
          <w:rFonts w:ascii="Times New Roman" w:eastAsia="仿宋_GB2312" w:hAnsi="Times New Roman" w:cs="Times New Roman"/>
          <w:color w:val="000000" w:themeColor="text1"/>
          <w:sz w:val="32"/>
          <w:szCs w:val="32"/>
        </w:rPr>
        <w:t>（二）生产过程及条件经实地确证，以及对生产过程中原始记录、数据进行核实，未发现真实性问题，发现与申报资料不一致或数据可靠性问题但不影响对药品质量评价的，或者虽基本具备药品上市商业化生产条件但尚需进一步完善的，核查认定为</w:t>
      </w:r>
      <w:r w:rsidR="000005C2" w:rsidRPr="00B82C3B">
        <w:rPr>
          <w:rFonts w:ascii="Times New Roman" w:eastAsia="仿宋_GB2312" w:hAnsi="Times New Roman" w:cs="Times New Roman"/>
          <w:color w:val="000000" w:themeColor="text1"/>
          <w:sz w:val="32"/>
          <w:szCs w:val="32"/>
        </w:rPr>
        <w:t>“</w:t>
      </w:r>
      <w:r w:rsidR="005737B3" w:rsidRPr="00B82C3B">
        <w:rPr>
          <w:rFonts w:ascii="Times New Roman" w:eastAsia="仿宋_GB2312" w:hAnsi="Times New Roman" w:cs="Times New Roman"/>
          <w:color w:val="000000" w:themeColor="text1"/>
          <w:sz w:val="32"/>
          <w:szCs w:val="32"/>
        </w:rPr>
        <w:t>需</w:t>
      </w:r>
      <w:r w:rsidR="00CF46C9" w:rsidRPr="00B82C3B">
        <w:rPr>
          <w:rFonts w:ascii="Times New Roman" w:eastAsia="仿宋_GB2312" w:hAnsi="Times New Roman" w:cs="Times New Roman"/>
          <w:color w:val="000000" w:themeColor="text1"/>
          <w:sz w:val="32"/>
          <w:szCs w:val="32"/>
        </w:rPr>
        <w:t>审评</w:t>
      </w:r>
      <w:r w:rsidR="000005C2" w:rsidRPr="00B82C3B">
        <w:rPr>
          <w:rFonts w:ascii="Times New Roman" w:eastAsia="仿宋_GB2312" w:hAnsi="Times New Roman" w:cs="Times New Roman"/>
          <w:color w:val="000000" w:themeColor="text1"/>
          <w:sz w:val="32"/>
          <w:szCs w:val="32"/>
        </w:rPr>
        <w:t>重点</w:t>
      </w:r>
      <w:r w:rsidRPr="00B82C3B">
        <w:rPr>
          <w:rFonts w:ascii="Times New Roman" w:eastAsia="仿宋_GB2312" w:hAnsi="Times New Roman" w:cs="Times New Roman"/>
          <w:color w:val="000000" w:themeColor="text1"/>
          <w:sz w:val="32"/>
          <w:szCs w:val="32"/>
        </w:rPr>
        <w:t>关注</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（三）</w:t>
      </w:r>
      <w:r w:rsidR="00213311" w:rsidRPr="00B82C3B">
        <w:rPr>
          <w:rFonts w:ascii="Times New Roman" w:eastAsia="仿宋_GB2312" w:hAnsi="Times New Roman" w:cs="Times New Roman"/>
          <w:color w:val="000000" w:themeColor="text1"/>
          <w:sz w:val="32"/>
          <w:szCs w:val="32"/>
        </w:rPr>
        <w:t>生产过程及条件经实地确证，以及对生产过程中原始记录、数据进行核实，发现以下情形之一的</w:t>
      </w:r>
      <w:r w:rsidRPr="00B82C3B">
        <w:rPr>
          <w:rFonts w:ascii="Times New Roman" w:eastAsia="仿宋_GB2312" w:hAnsi="Times New Roman" w:cs="Times New Roman"/>
          <w:color w:val="000000" w:themeColor="text1"/>
          <w:sz w:val="32"/>
          <w:szCs w:val="32"/>
        </w:rPr>
        <w:t>，核查认定为</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不通过</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w:t>
      </w:r>
      <w:r w:rsidRPr="00B82C3B">
        <w:rPr>
          <w:rFonts w:ascii="Times New Roman" w:eastAsia="仿宋_GB2312" w:hAnsi="Times New Roman" w:cs="Times New Roman"/>
          <w:color w:val="000000" w:themeColor="text1"/>
          <w:sz w:val="32"/>
          <w:szCs w:val="32"/>
        </w:rPr>
        <w:t xml:space="preserve"> </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1.</w:t>
      </w:r>
      <w:r w:rsidRPr="00B82C3B">
        <w:rPr>
          <w:rFonts w:ascii="Times New Roman" w:eastAsia="仿宋_GB2312" w:hAnsi="Times New Roman" w:cs="Times New Roman"/>
          <w:color w:val="000000" w:themeColor="text1"/>
          <w:sz w:val="32"/>
          <w:szCs w:val="32"/>
        </w:rPr>
        <w:t>存在严重偏离药品生产质量管理规范等相关法律法规，可能对产品质量带来严重风险的或者对使用者造成危害的；</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2.</w:t>
      </w:r>
      <w:r w:rsidRPr="00B82C3B">
        <w:rPr>
          <w:rFonts w:ascii="Times New Roman" w:eastAsia="仿宋_GB2312" w:hAnsi="Times New Roman" w:cs="Times New Roman"/>
          <w:color w:val="000000" w:themeColor="text1"/>
          <w:sz w:val="32"/>
          <w:szCs w:val="32"/>
        </w:rPr>
        <w:t>发现真实性问题或申报资料真实性存疑，申请人不能证明其真实性的；</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3.</w:t>
      </w:r>
      <w:r w:rsidRPr="00B82C3B">
        <w:rPr>
          <w:rFonts w:ascii="Times New Roman" w:eastAsia="仿宋_GB2312" w:hAnsi="Times New Roman" w:cs="Times New Roman"/>
          <w:color w:val="000000" w:themeColor="text1"/>
          <w:sz w:val="32"/>
          <w:szCs w:val="32"/>
        </w:rPr>
        <w:t>无法证明能按照申报的上市商业化生产条件实现持续稳定生产的；</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4.</w:t>
      </w:r>
      <w:r w:rsidRPr="00B82C3B">
        <w:rPr>
          <w:rFonts w:ascii="Times New Roman" w:eastAsia="仿宋_GB2312" w:hAnsi="Times New Roman" w:cs="Times New Roman"/>
          <w:color w:val="000000" w:themeColor="text1"/>
          <w:sz w:val="32"/>
          <w:szCs w:val="32"/>
        </w:rPr>
        <w:t>存在严重的数据可靠性问题，导致对药品质量的评价产生影响的；</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5.</w:t>
      </w:r>
      <w:r w:rsidRPr="00B82C3B">
        <w:rPr>
          <w:rFonts w:ascii="Times New Roman" w:eastAsia="仿宋_GB2312" w:hAnsi="Times New Roman" w:cs="Times New Roman"/>
          <w:color w:val="000000" w:themeColor="text1"/>
          <w:sz w:val="32"/>
          <w:szCs w:val="32"/>
        </w:rPr>
        <w:t>拒绝、不配合核查，导致无法继续进行现场核查的；</w:t>
      </w:r>
    </w:p>
    <w:p w:rsidR="002D2CB6" w:rsidRPr="00B82C3B" w:rsidRDefault="006A4CA4" w:rsidP="003D0330">
      <w:pPr>
        <w:spacing w:line="572" w:lineRule="exact"/>
        <w:ind w:firstLineChars="200" w:firstLine="640"/>
        <w:rPr>
          <w:rFonts w:ascii="Times New Roman" w:eastAsia="仿宋_GB2312" w:hAnsi="Times New Roman" w:cs="Times New Roman"/>
          <w:color w:val="000000" w:themeColor="text1"/>
          <w:sz w:val="32"/>
          <w:szCs w:val="32"/>
        </w:rPr>
      </w:pPr>
      <w:r w:rsidRPr="00B82C3B">
        <w:rPr>
          <w:rFonts w:ascii="Times New Roman" w:eastAsia="仿宋_GB2312" w:hAnsi="Times New Roman" w:cs="Times New Roman"/>
          <w:color w:val="000000" w:themeColor="text1"/>
          <w:sz w:val="32"/>
          <w:szCs w:val="32"/>
        </w:rPr>
        <w:t>6.</w:t>
      </w:r>
      <w:r w:rsidRPr="00B82C3B">
        <w:rPr>
          <w:rFonts w:ascii="Times New Roman" w:eastAsia="仿宋_GB2312" w:hAnsi="Times New Roman" w:cs="Times New Roman"/>
          <w:color w:val="000000" w:themeColor="text1"/>
          <w:sz w:val="32"/>
          <w:szCs w:val="32"/>
        </w:rPr>
        <w:t>涉嫌违反药品监督管理相关法律、法规的。</w:t>
      </w:r>
    </w:p>
    <w:sectPr w:rsidR="002D2CB6" w:rsidRPr="00B82C3B" w:rsidSect="003D0330">
      <w:footerReference w:type="default" r:id="rId9"/>
      <w:pgSz w:w="11906" w:h="16838"/>
      <w:pgMar w:top="2098" w:right="1531" w:bottom="1985" w:left="1531"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86" w:rsidRDefault="00F52B86" w:rsidP="002D2CB6">
      <w:r>
        <w:separator/>
      </w:r>
    </w:p>
  </w:endnote>
  <w:endnote w:type="continuationSeparator" w:id="0">
    <w:p w:rsidR="00F52B86" w:rsidRDefault="00F52B86" w:rsidP="002D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568075"/>
      <w:docPartObj>
        <w:docPartGallery w:val="AutoText"/>
      </w:docPartObj>
    </w:sdtPr>
    <w:sdtEndPr/>
    <w:sdtContent>
      <w:sdt>
        <w:sdtPr>
          <w:id w:val="-1705238520"/>
          <w:docPartObj>
            <w:docPartGallery w:val="AutoText"/>
          </w:docPartObj>
        </w:sdtPr>
        <w:sdtEndPr/>
        <w:sdtContent>
          <w:p w:rsidR="002D2CB6" w:rsidRDefault="006A4CA4">
            <w:pPr>
              <w:pStyle w:val="a6"/>
              <w:jc w:val="center"/>
            </w:pPr>
            <w:r>
              <w:rPr>
                <w:lang w:val="zh-CN"/>
              </w:rPr>
              <w:t xml:space="preserve"> </w:t>
            </w:r>
            <w:r w:rsidR="004F6692">
              <w:rPr>
                <w:b/>
                <w:bCs/>
                <w:sz w:val="24"/>
                <w:szCs w:val="24"/>
              </w:rPr>
              <w:fldChar w:fldCharType="begin"/>
            </w:r>
            <w:r>
              <w:rPr>
                <w:b/>
                <w:bCs/>
              </w:rPr>
              <w:instrText>PAGE</w:instrText>
            </w:r>
            <w:r w:rsidR="004F6692">
              <w:rPr>
                <w:b/>
                <w:bCs/>
                <w:sz w:val="24"/>
                <w:szCs w:val="24"/>
              </w:rPr>
              <w:fldChar w:fldCharType="separate"/>
            </w:r>
            <w:r w:rsidR="00157096">
              <w:rPr>
                <w:b/>
                <w:bCs/>
                <w:noProof/>
              </w:rPr>
              <w:t>1</w:t>
            </w:r>
            <w:r w:rsidR="004F6692">
              <w:rPr>
                <w:b/>
                <w:bCs/>
                <w:sz w:val="24"/>
                <w:szCs w:val="24"/>
              </w:rPr>
              <w:fldChar w:fldCharType="end"/>
            </w:r>
            <w:r>
              <w:rPr>
                <w:lang w:val="zh-CN"/>
              </w:rPr>
              <w:t xml:space="preserve"> / </w:t>
            </w:r>
            <w:r w:rsidR="004F6692">
              <w:rPr>
                <w:b/>
                <w:bCs/>
                <w:sz w:val="24"/>
                <w:szCs w:val="24"/>
              </w:rPr>
              <w:fldChar w:fldCharType="begin"/>
            </w:r>
            <w:r>
              <w:rPr>
                <w:b/>
                <w:bCs/>
              </w:rPr>
              <w:instrText>NUMPAGES</w:instrText>
            </w:r>
            <w:r w:rsidR="004F6692">
              <w:rPr>
                <w:b/>
                <w:bCs/>
                <w:sz w:val="24"/>
                <w:szCs w:val="24"/>
              </w:rPr>
              <w:fldChar w:fldCharType="separate"/>
            </w:r>
            <w:r w:rsidR="00157096">
              <w:rPr>
                <w:b/>
                <w:bCs/>
                <w:noProof/>
              </w:rPr>
              <w:t>15</w:t>
            </w:r>
            <w:r w:rsidR="004F6692">
              <w:rPr>
                <w:b/>
                <w:bCs/>
                <w:sz w:val="24"/>
                <w:szCs w:val="24"/>
              </w:rPr>
              <w:fldChar w:fldCharType="end"/>
            </w:r>
          </w:p>
        </w:sdtContent>
      </w:sdt>
    </w:sdtContent>
  </w:sdt>
  <w:p w:rsidR="002D2CB6" w:rsidRDefault="002D2C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86" w:rsidRDefault="00F52B86" w:rsidP="002D2CB6">
      <w:r>
        <w:separator/>
      </w:r>
    </w:p>
  </w:footnote>
  <w:footnote w:type="continuationSeparator" w:id="0">
    <w:p w:rsidR="00F52B86" w:rsidRDefault="00F52B86" w:rsidP="002D2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02A19"/>
    <w:rsid w:val="000005C2"/>
    <w:rsid w:val="00001BB0"/>
    <w:rsid w:val="00011B08"/>
    <w:rsid w:val="0002760F"/>
    <w:rsid w:val="00027F24"/>
    <w:rsid w:val="00040D08"/>
    <w:rsid w:val="000412DF"/>
    <w:rsid w:val="00045571"/>
    <w:rsid w:val="00056D1B"/>
    <w:rsid w:val="00075F4A"/>
    <w:rsid w:val="00093FE0"/>
    <w:rsid w:val="000941E2"/>
    <w:rsid w:val="00095936"/>
    <w:rsid w:val="0009616F"/>
    <w:rsid w:val="00096BF0"/>
    <w:rsid w:val="000A244C"/>
    <w:rsid w:val="000B7094"/>
    <w:rsid w:val="000D2E1E"/>
    <w:rsid w:val="000D4AB0"/>
    <w:rsid w:val="000D5453"/>
    <w:rsid w:val="000D7A92"/>
    <w:rsid w:val="000E451A"/>
    <w:rsid w:val="000E4A0E"/>
    <w:rsid w:val="000E69C6"/>
    <w:rsid w:val="000F03E5"/>
    <w:rsid w:val="000F45B8"/>
    <w:rsid w:val="000F58F6"/>
    <w:rsid w:val="00102552"/>
    <w:rsid w:val="00105BBF"/>
    <w:rsid w:val="00120D7D"/>
    <w:rsid w:val="00123FEE"/>
    <w:rsid w:val="0013254F"/>
    <w:rsid w:val="00133E35"/>
    <w:rsid w:val="00141427"/>
    <w:rsid w:val="00150A94"/>
    <w:rsid w:val="00157096"/>
    <w:rsid w:val="00170E6B"/>
    <w:rsid w:val="00185D3A"/>
    <w:rsid w:val="001973C5"/>
    <w:rsid w:val="001B2923"/>
    <w:rsid w:val="001B3918"/>
    <w:rsid w:val="001C042B"/>
    <w:rsid w:val="00203B7B"/>
    <w:rsid w:val="00203CE4"/>
    <w:rsid w:val="00207ED2"/>
    <w:rsid w:val="00213311"/>
    <w:rsid w:val="0021395E"/>
    <w:rsid w:val="00217DEB"/>
    <w:rsid w:val="00220898"/>
    <w:rsid w:val="002213F1"/>
    <w:rsid w:val="00231AE8"/>
    <w:rsid w:val="002340E4"/>
    <w:rsid w:val="0024213C"/>
    <w:rsid w:val="00242FCD"/>
    <w:rsid w:val="0024306C"/>
    <w:rsid w:val="002521AB"/>
    <w:rsid w:val="0026358A"/>
    <w:rsid w:val="002710C2"/>
    <w:rsid w:val="00275E08"/>
    <w:rsid w:val="00282A52"/>
    <w:rsid w:val="0029737F"/>
    <w:rsid w:val="002A13F4"/>
    <w:rsid w:val="002B6BCF"/>
    <w:rsid w:val="002C2AFD"/>
    <w:rsid w:val="002D1195"/>
    <w:rsid w:val="002D2BEC"/>
    <w:rsid w:val="002D2CB6"/>
    <w:rsid w:val="002D768B"/>
    <w:rsid w:val="002E4967"/>
    <w:rsid w:val="002E60E4"/>
    <w:rsid w:val="002F1E26"/>
    <w:rsid w:val="002F41C2"/>
    <w:rsid w:val="0030423D"/>
    <w:rsid w:val="003069B9"/>
    <w:rsid w:val="003123C2"/>
    <w:rsid w:val="00323B43"/>
    <w:rsid w:val="00327310"/>
    <w:rsid w:val="00331212"/>
    <w:rsid w:val="00336FC2"/>
    <w:rsid w:val="00340EDA"/>
    <w:rsid w:val="003435E8"/>
    <w:rsid w:val="00343859"/>
    <w:rsid w:val="00347B9E"/>
    <w:rsid w:val="00357397"/>
    <w:rsid w:val="003642A0"/>
    <w:rsid w:val="003646A0"/>
    <w:rsid w:val="00370EF4"/>
    <w:rsid w:val="00373298"/>
    <w:rsid w:val="0037362A"/>
    <w:rsid w:val="00374A82"/>
    <w:rsid w:val="00390404"/>
    <w:rsid w:val="0039673C"/>
    <w:rsid w:val="00397421"/>
    <w:rsid w:val="003C1114"/>
    <w:rsid w:val="003C6FC0"/>
    <w:rsid w:val="003D0330"/>
    <w:rsid w:val="003D06DA"/>
    <w:rsid w:val="003D0CAD"/>
    <w:rsid w:val="003D2A26"/>
    <w:rsid w:val="003D2D39"/>
    <w:rsid w:val="003D2F39"/>
    <w:rsid w:val="003D37D8"/>
    <w:rsid w:val="003E030D"/>
    <w:rsid w:val="003E1A80"/>
    <w:rsid w:val="003E354F"/>
    <w:rsid w:val="003F0649"/>
    <w:rsid w:val="003F1355"/>
    <w:rsid w:val="003F1C19"/>
    <w:rsid w:val="004003B8"/>
    <w:rsid w:val="00400922"/>
    <w:rsid w:val="00402A19"/>
    <w:rsid w:val="00403E6A"/>
    <w:rsid w:val="0040461B"/>
    <w:rsid w:val="00406C1C"/>
    <w:rsid w:val="0042303E"/>
    <w:rsid w:val="00425789"/>
    <w:rsid w:val="004278C8"/>
    <w:rsid w:val="004358AB"/>
    <w:rsid w:val="00456416"/>
    <w:rsid w:val="00472206"/>
    <w:rsid w:val="00481234"/>
    <w:rsid w:val="004873F0"/>
    <w:rsid w:val="004A6234"/>
    <w:rsid w:val="004C277D"/>
    <w:rsid w:val="004E2C51"/>
    <w:rsid w:val="004F2CA5"/>
    <w:rsid w:val="004F3FCA"/>
    <w:rsid w:val="004F4888"/>
    <w:rsid w:val="004F5B83"/>
    <w:rsid w:val="004F5F8D"/>
    <w:rsid w:val="004F6692"/>
    <w:rsid w:val="004F6AAF"/>
    <w:rsid w:val="005036A4"/>
    <w:rsid w:val="0051523C"/>
    <w:rsid w:val="005157A1"/>
    <w:rsid w:val="00533376"/>
    <w:rsid w:val="0053472A"/>
    <w:rsid w:val="00534EAD"/>
    <w:rsid w:val="00542091"/>
    <w:rsid w:val="00542ED7"/>
    <w:rsid w:val="00545A34"/>
    <w:rsid w:val="005525E1"/>
    <w:rsid w:val="005669CA"/>
    <w:rsid w:val="005737B3"/>
    <w:rsid w:val="00575126"/>
    <w:rsid w:val="005817E0"/>
    <w:rsid w:val="00584DD5"/>
    <w:rsid w:val="00591CA4"/>
    <w:rsid w:val="00593093"/>
    <w:rsid w:val="00595F21"/>
    <w:rsid w:val="005977AC"/>
    <w:rsid w:val="005A6CB9"/>
    <w:rsid w:val="005B18EE"/>
    <w:rsid w:val="005B2912"/>
    <w:rsid w:val="005B29A3"/>
    <w:rsid w:val="005D3FC7"/>
    <w:rsid w:val="005F4AAD"/>
    <w:rsid w:val="0060195D"/>
    <w:rsid w:val="00611DB5"/>
    <w:rsid w:val="006160B5"/>
    <w:rsid w:val="00617349"/>
    <w:rsid w:val="00624F36"/>
    <w:rsid w:val="00626DC6"/>
    <w:rsid w:val="00634B59"/>
    <w:rsid w:val="00641352"/>
    <w:rsid w:val="0064211E"/>
    <w:rsid w:val="00642C1B"/>
    <w:rsid w:val="00646B80"/>
    <w:rsid w:val="0065012B"/>
    <w:rsid w:val="006503C8"/>
    <w:rsid w:val="00654D24"/>
    <w:rsid w:val="00657381"/>
    <w:rsid w:val="00660A27"/>
    <w:rsid w:val="00664826"/>
    <w:rsid w:val="00674089"/>
    <w:rsid w:val="00676684"/>
    <w:rsid w:val="0068314A"/>
    <w:rsid w:val="006863F6"/>
    <w:rsid w:val="00686D16"/>
    <w:rsid w:val="006911EE"/>
    <w:rsid w:val="006A4C3B"/>
    <w:rsid w:val="006A4CA4"/>
    <w:rsid w:val="006C7945"/>
    <w:rsid w:val="006D3572"/>
    <w:rsid w:val="006F3BFC"/>
    <w:rsid w:val="006F4056"/>
    <w:rsid w:val="006F7132"/>
    <w:rsid w:val="007011E6"/>
    <w:rsid w:val="007016CB"/>
    <w:rsid w:val="00701E2B"/>
    <w:rsid w:val="0070359E"/>
    <w:rsid w:val="007136C8"/>
    <w:rsid w:val="00717572"/>
    <w:rsid w:val="0072529C"/>
    <w:rsid w:val="007377F6"/>
    <w:rsid w:val="00745090"/>
    <w:rsid w:val="00746110"/>
    <w:rsid w:val="0075385A"/>
    <w:rsid w:val="0075458A"/>
    <w:rsid w:val="0075583D"/>
    <w:rsid w:val="00760FE5"/>
    <w:rsid w:val="0076568C"/>
    <w:rsid w:val="0077443C"/>
    <w:rsid w:val="0077591D"/>
    <w:rsid w:val="00784232"/>
    <w:rsid w:val="00786FF0"/>
    <w:rsid w:val="00790C8A"/>
    <w:rsid w:val="007941E0"/>
    <w:rsid w:val="007967EF"/>
    <w:rsid w:val="007A3063"/>
    <w:rsid w:val="007B45EB"/>
    <w:rsid w:val="007C0B80"/>
    <w:rsid w:val="007C1E45"/>
    <w:rsid w:val="007C4CDD"/>
    <w:rsid w:val="007C6A87"/>
    <w:rsid w:val="007D0589"/>
    <w:rsid w:val="007D29F6"/>
    <w:rsid w:val="007D74AB"/>
    <w:rsid w:val="007D7557"/>
    <w:rsid w:val="007E48C6"/>
    <w:rsid w:val="007E6C46"/>
    <w:rsid w:val="007F09B7"/>
    <w:rsid w:val="007F5D57"/>
    <w:rsid w:val="00806397"/>
    <w:rsid w:val="008069B0"/>
    <w:rsid w:val="0081748B"/>
    <w:rsid w:val="00831ADA"/>
    <w:rsid w:val="00844223"/>
    <w:rsid w:val="00846301"/>
    <w:rsid w:val="00851B16"/>
    <w:rsid w:val="00854BEE"/>
    <w:rsid w:val="008551FD"/>
    <w:rsid w:val="00862688"/>
    <w:rsid w:val="008639C7"/>
    <w:rsid w:val="0086495D"/>
    <w:rsid w:val="00864E78"/>
    <w:rsid w:val="00870148"/>
    <w:rsid w:val="0087197C"/>
    <w:rsid w:val="008948BF"/>
    <w:rsid w:val="008950BD"/>
    <w:rsid w:val="008A59A8"/>
    <w:rsid w:val="008A5A0E"/>
    <w:rsid w:val="008B120D"/>
    <w:rsid w:val="008B229C"/>
    <w:rsid w:val="008B391D"/>
    <w:rsid w:val="008B4526"/>
    <w:rsid w:val="008B7726"/>
    <w:rsid w:val="008C7CDD"/>
    <w:rsid w:val="008D1ED8"/>
    <w:rsid w:val="008D55CA"/>
    <w:rsid w:val="008D7568"/>
    <w:rsid w:val="008E5746"/>
    <w:rsid w:val="008F4CD4"/>
    <w:rsid w:val="00902EF0"/>
    <w:rsid w:val="00910FED"/>
    <w:rsid w:val="009153AA"/>
    <w:rsid w:val="009218A3"/>
    <w:rsid w:val="009244B4"/>
    <w:rsid w:val="00940E02"/>
    <w:rsid w:val="009441E1"/>
    <w:rsid w:val="00945492"/>
    <w:rsid w:val="00946815"/>
    <w:rsid w:val="00956520"/>
    <w:rsid w:val="009610A0"/>
    <w:rsid w:val="00963A68"/>
    <w:rsid w:val="009670A4"/>
    <w:rsid w:val="00970336"/>
    <w:rsid w:val="009826C9"/>
    <w:rsid w:val="0098526E"/>
    <w:rsid w:val="00987105"/>
    <w:rsid w:val="00992DC8"/>
    <w:rsid w:val="009B12A9"/>
    <w:rsid w:val="009B71E8"/>
    <w:rsid w:val="009E64B2"/>
    <w:rsid w:val="009F4027"/>
    <w:rsid w:val="009F505D"/>
    <w:rsid w:val="00A04647"/>
    <w:rsid w:val="00A10CFD"/>
    <w:rsid w:val="00A11BB2"/>
    <w:rsid w:val="00A12B5B"/>
    <w:rsid w:val="00A20073"/>
    <w:rsid w:val="00A20378"/>
    <w:rsid w:val="00A2247B"/>
    <w:rsid w:val="00A278C5"/>
    <w:rsid w:val="00A27C2C"/>
    <w:rsid w:val="00A33CAB"/>
    <w:rsid w:val="00A35406"/>
    <w:rsid w:val="00A413C4"/>
    <w:rsid w:val="00A430C3"/>
    <w:rsid w:val="00A46977"/>
    <w:rsid w:val="00A528E5"/>
    <w:rsid w:val="00A576B5"/>
    <w:rsid w:val="00A66759"/>
    <w:rsid w:val="00A81BE0"/>
    <w:rsid w:val="00A82DDA"/>
    <w:rsid w:val="00A834AF"/>
    <w:rsid w:val="00A91871"/>
    <w:rsid w:val="00AA09AF"/>
    <w:rsid w:val="00AB34F0"/>
    <w:rsid w:val="00AB5F71"/>
    <w:rsid w:val="00AD3306"/>
    <w:rsid w:val="00AD72DD"/>
    <w:rsid w:val="00AF072F"/>
    <w:rsid w:val="00B0071D"/>
    <w:rsid w:val="00B13143"/>
    <w:rsid w:val="00B16A1F"/>
    <w:rsid w:val="00B26C15"/>
    <w:rsid w:val="00B31E3F"/>
    <w:rsid w:val="00B36B0A"/>
    <w:rsid w:val="00B5216F"/>
    <w:rsid w:val="00B64AEC"/>
    <w:rsid w:val="00B70B12"/>
    <w:rsid w:val="00B7100F"/>
    <w:rsid w:val="00B75763"/>
    <w:rsid w:val="00B77BA0"/>
    <w:rsid w:val="00B82C3B"/>
    <w:rsid w:val="00B85343"/>
    <w:rsid w:val="00B93BE4"/>
    <w:rsid w:val="00B94F95"/>
    <w:rsid w:val="00BC14A6"/>
    <w:rsid w:val="00BC3B05"/>
    <w:rsid w:val="00BC61FA"/>
    <w:rsid w:val="00BD1DD6"/>
    <w:rsid w:val="00BD33DF"/>
    <w:rsid w:val="00BD4DA4"/>
    <w:rsid w:val="00BD5533"/>
    <w:rsid w:val="00BD6197"/>
    <w:rsid w:val="00BF0B64"/>
    <w:rsid w:val="00BF6594"/>
    <w:rsid w:val="00C02A5C"/>
    <w:rsid w:val="00C04FC8"/>
    <w:rsid w:val="00C065C8"/>
    <w:rsid w:val="00C06B2E"/>
    <w:rsid w:val="00C149F4"/>
    <w:rsid w:val="00C16881"/>
    <w:rsid w:val="00C21CF6"/>
    <w:rsid w:val="00C33D86"/>
    <w:rsid w:val="00C34B18"/>
    <w:rsid w:val="00C40B07"/>
    <w:rsid w:val="00C418B2"/>
    <w:rsid w:val="00C461EB"/>
    <w:rsid w:val="00C54FEA"/>
    <w:rsid w:val="00C63EB3"/>
    <w:rsid w:val="00C65CE8"/>
    <w:rsid w:val="00C739E2"/>
    <w:rsid w:val="00C742C3"/>
    <w:rsid w:val="00C76F24"/>
    <w:rsid w:val="00C90894"/>
    <w:rsid w:val="00C94918"/>
    <w:rsid w:val="00C95303"/>
    <w:rsid w:val="00CA43B3"/>
    <w:rsid w:val="00CA74D1"/>
    <w:rsid w:val="00CC0DB5"/>
    <w:rsid w:val="00CC3D12"/>
    <w:rsid w:val="00CD45B0"/>
    <w:rsid w:val="00CD7D23"/>
    <w:rsid w:val="00CE2FFD"/>
    <w:rsid w:val="00CE6B8D"/>
    <w:rsid w:val="00CE7B77"/>
    <w:rsid w:val="00CF46C9"/>
    <w:rsid w:val="00CF5111"/>
    <w:rsid w:val="00CF708E"/>
    <w:rsid w:val="00D00053"/>
    <w:rsid w:val="00D14F9C"/>
    <w:rsid w:val="00D22E67"/>
    <w:rsid w:val="00D332B8"/>
    <w:rsid w:val="00D3366C"/>
    <w:rsid w:val="00D36A3B"/>
    <w:rsid w:val="00D450B8"/>
    <w:rsid w:val="00D53779"/>
    <w:rsid w:val="00D658D5"/>
    <w:rsid w:val="00D744C1"/>
    <w:rsid w:val="00D74757"/>
    <w:rsid w:val="00D77352"/>
    <w:rsid w:val="00D961B2"/>
    <w:rsid w:val="00DA1517"/>
    <w:rsid w:val="00DA3BB6"/>
    <w:rsid w:val="00DB73AF"/>
    <w:rsid w:val="00DC1466"/>
    <w:rsid w:val="00DC6B8C"/>
    <w:rsid w:val="00DD03D1"/>
    <w:rsid w:val="00DD3F21"/>
    <w:rsid w:val="00DD57E2"/>
    <w:rsid w:val="00DE013B"/>
    <w:rsid w:val="00DE0E7D"/>
    <w:rsid w:val="00DE5A17"/>
    <w:rsid w:val="00DE7236"/>
    <w:rsid w:val="00DF5B94"/>
    <w:rsid w:val="00E002B6"/>
    <w:rsid w:val="00E0544A"/>
    <w:rsid w:val="00E07013"/>
    <w:rsid w:val="00E125BE"/>
    <w:rsid w:val="00E20DEE"/>
    <w:rsid w:val="00E34D21"/>
    <w:rsid w:val="00E42C77"/>
    <w:rsid w:val="00E534D2"/>
    <w:rsid w:val="00E6461C"/>
    <w:rsid w:val="00E6507C"/>
    <w:rsid w:val="00E7306F"/>
    <w:rsid w:val="00E828D5"/>
    <w:rsid w:val="00E94968"/>
    <w:rsid w:val="00E971FA"/>
    <w:rsid w:val="00EA6F72"/>
    <w:rsid w:val="00EB2C74"/>
    <w:rsid w:val="00EC365F"/>
    <w:rsid w:val="00EC3844"/>
    <w:rsid w:val="00EC6874"/>
    <w:rsid w:val="00ED16D9"/>
    <w:rsid w:val="00ED171B"/>
    <w:rsid w:val="00ED6718"/>
    <w:rsid w:val="00ED6B66"/>
    <w:rsid w:val="00EE5F6C"/>
    <w:rsid w:val="00EF01FD"/>
    <w:rsid w:val="00EF2110"/>
    <w:rsid w:val="00F158AA"/>
    <w:rsid w:val="00F168F1"/>
    <w:rsid w:val="00F210F6"/>
    <w:rsid w:val="00F218DF"/>
    <w:rsid w:val="00F302EA"/>
    <w:rsid w:val="00F416F4"/>
    <w:rsid w:val="00F42247"/>
    <w:rsid w:val="00F44657"/>
    <w:rsid w:val="00F47509"/>
    <w:rsid w:val="00F50BE0"/>
    <w:rsid w:val="00F527CE"/>
    <w:rsid w:val="00F52B86"/>
    <w:rsid w:val="00F55172"/>
    <w:rsid w:val="00F604A3"/>
    <w:rsid w:val="00F71FEF"/>
    <w:rsid w:val="00F744E5"/>
    <w:rsid w:val="00F80129"/>
    <w:rsid w:val="00F8447D"/>
    <w:rsid w:val="00F8764B"/>
    <w:rsid w:val="00F9297E"/>
    <w:rsid w:val="00FA3A0C"/>
    <w:rsid w:val="00FB3B6D"/>
    <w:rsid w:val="00FB4EF5"/>
    <w:rsid w:val="00FC123F"/>
    <w:rsid w:val="00FC29EA"/>
    <w:rsid w:val="00FD0019"/>
    <w:rsid w:val="00FD0249"/>
    <w:rsid w:val="00FD76AF"/>
    <w:rsid w:val="00FE3874"/>
    <w:rsid w:val="00FF21CF"/>
    <w:rsid w:val="00FF7574"/>
    <w:rsid w:val="082F14BD"/>
    <w:rsid w:val="1F88201C"/>
    <w:rsid w:val="32B8478E"/>
    <w:rsid w:val="49D96AB4"/>
    <w:rsid w:val="744E7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B6"/>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2D2CB6"/>
    <w:pPr>
      <w:jc w:val="left"/>
    </w:pPr>
  </w:style>
  <w:style w:type="paragraph" w:styleId="a4">
    <w:name w:val="Date"/>
    <w:basedOn w:val="a"/>
    <w:next w:val="a"/>
    <w:link w:val="Char0"/>
    <w:uiPriority w:val="99"/>
    <w:semiHidden/>
    <w:unhideWhenUsed/>
    <w:rsid w:val="002D2CB6"/>
    <w:pPr>
      <w:ind w:leftChars="2500" w:left="100"/>
    </w:pPr>
  </w:style>
  <w:style w:type="paragraph" w:styleId="a5">
    <w:name w:val="Balloon Text"/>
    <w:basedOn w:val="a"/>
    <w:link w:val="Char1"/>
    <w:uiPriority w:val="99"/>
    <w:semiHidden/>
    <w:unhideWhenUsed/>
    <w:rsid w:val="002D2CB6"/>
    <w:rPr>
      <w:sz w:val="18"/>
      <w:szCs w:val="18"/>
    </w:rPr>
  </w:style>
  <w:style w:type="paragraph" w:styleId="a6">
    <w:name w:val="footer"/>
    <w:basedOn w:val="a"/>
    <w:link w:val="Char2"/>
    <w:uiPriority w:val="99"/>
    <w:unhideWhenUsed/>
    <w:rsid w:val="002D2CB6"/>
    <w:pPr>
      <w:tabs>
        <w:tab w:val="center" w:pos="4153"/>
        <w:tab w:val="right" w:pos="8306"/>
      </w:tabs>
      <w:snapToGrid w:val="0"/>
      <w:jc w:val="left"/>
    </w:pPr>
    <w:rPr>
      <w:sz w:val="18"/>
      <w:szCs w:val="18"/>
    </w:rPr>
  </w:style>
  <w:style w:type="paragraph" w:styleId="a7">
    <w:name w:val="header"/>
    <w:basedOn w:val="a"/>
    <w:link w:val="Char3"/>
    <w:uiPriority w:val="99"/>
    <w:unhideWhenUsed/>
    <w:rsid w:val="002D2CB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rsid w:val="002D2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unhideWhenUsed/>
    <w:rsid w:val="002D2CB6"/>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rsid w:val="002D2CB6"/>
    <w:rPr>
      <w:b/>
      <w:bCs/>
    </w:rPr>
  </w:style>
  <w:style w:type="character" w:styleId="aa">
    <w:name w:val="annotation reference"/>
    <w:basedOn w:val="a0"/>
    <w:uiPriority w:val="99"/>
    <w:semiHidden/>
    <w:unhideWhenUsed/>
    <w:rsid w:val="002D2CB6"/>
    <w:rPr>
      <w:sz w:val="21"/>
      <w:szCs w:val="21"/>
    </w:rPr>
  </w:style>
  <w:style w:type="paragraph" w:styleId="ab">
    <w:name w:val="List Paragraph"/>
    <w:basedOn w:val="a"/>
    <w:link w:val="Char5"/>
    <w:uiPriority w:val="34"/>
    <w:qFormat/>
    <w:rsid w:val="002D2CB6"/>
    <w:pPr>
      <w:ind w:firstLineChars="200" w:firstLine="420"/>
    </w:pPr>
  </w:style>
  <w:style w:type="character" w:customStyle="1" w:styleId="Char5">
    <w:name w:val="列出段落 Char"/>
    <w:basedOn w:val="a0"/>
    <w:link w:val="ab"/>
    <w:uiPriority w:val="34"/>
    <w:rsid w:val="002D2CB6"/>
    <w:rPr>
      <w:rFonts w:eastAsiaTheme="minorEastAsia"/>
      <w:kern w:val="2"/>
      <w:sz w:val="21"/>
    </w:rPr>
  </w:style>
  <w:style w:type="character" w:customStyle="1" w:styleId="Char">
    <w:name w:val="批注文字 Char"/>
    <w:basedOn w:val="a0"/>
    <w:link w:val="a3"/>
    <w:uiPriority w:val="99"/>
    <w:semiHidden/>
    <w:rsid w:val="002D2CB6"/>
    <w:rPr>
      <w:rFonts w:eastAsiaTheme="minorEastAsia"/>
      <w:kern w:val="2"/>
      <w:sz w:val="21"/>
    </w:rPr>
  </w:style>
  <w:style w:type="character" w:customStyle="1" w:styleId="Char4">
    <w:name w:val="批注主题 Char"/>
    <w:basedOn w:val="Char"/>
    <w:link w:val="a9"/>
    <w:uiPriority w:val="99"/>
    <w:semiHidden/>
    <w:rsid w:val="002D2CB6"/>
    <w:rPr>
      <w:rFonts w:eastAsiaTheme="minorEastAsia"/>
      <w:b/>
      <w:bCs/>
      <w:kern w:val="2"/>
      <w:sz w:val="21"/>
    </w:rPr>
  </w:style>
  <w:style w:type="character" w:customStyle="1" w:styleId="Char1">
    <w:name w:val="批注框文本 Char"/>
    <w:basedOn w:val="a0"/>
    <w:link w:val="a5"/>
    <w:uiPriority w:val="99"/>
    <w:semiHidden/>
    <w:rsid w:val="002D2CB6"/>
    <w:rPr>
      <w:rFonts w:eastAsiaTheme="minorEastAsia"/>
      <w:kern w:val="2"/>
      <w:sz w:val="18"/>
      <w:szCs w:val="18"/>
    </w:rPr>
  </w:style>
  <w:style w:type="character" w:customStyle="1" w:styleId="Char3">
    <w:name w:val="页眉 Char"/>
    <w:basedOn w:val="a0"/>
    <w:link w:val="a7"/>
    <w:uiPriority w:val="99"/>
    <w:rsid w:val="002D2CB6"/>
    <w:rPr>
      <w:rFonts w:eastAsiaTheme="minorEastAsia"/>
      <w:kern w:val="2"/>
      <w:sz w:val="18"/>
      <w:szCs w:val="18"/>
    </w:rPr>
  </w:style>
  <w:style w:type="character" w:customStyle="1" w:styleId="Char2">
    <w:name w:val="页脚 Char"/>
    <w:basedOn w:val="a0"/>
    <w:link w:val="a6"/>
    <w:uiPriority w:val="99"/>
    <w:rsid w:val="002D2CB6"/>
    <w:rPr>
      <w:rFonts w:eastAsiaTheme="minorEastAsia"/>
      <w:kern w:val="2"/>
      <w:sz w:val="18"/>
      <w:szCs w:val="18"/>
    </w:rPr>
  </w:style>
  <w:style w:type="character" w:customStyle="1" w:styleId="Char0">
    <w:name w:val="日期 Char"/>
    <w:basedOn w:val="a0"/>
    <w:link w:val="a4"/>
    <w:uiPriority w:val="99"/>
    <w:semiHidden/>
    <w:rsid w:val="002D2CB6"/>
    <w:rPr>
      <w:rFonts w:eastAsiaTheme="minorEastAsia"/>
      <w:kern w:val="2"/>
      <w:sz w:val="21"/>
    </w:rPr>
  </w:style>
  <w:style w:type="character" w:customStyle="1" w:styleId="HTMLChar">
    <w:name w:val="HTML 预设格式 Char"/>
    <w:basedOn w:val="a0"/>
    <w:link w:val="HTML"/>
    <w:uiPriority w:val="99"/>
    <w:semiHidden/>
    <w:rsid w:val="002D2CB6"/>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3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A68014-FBA9-4F94-97FF-E9AA6609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1036</Words>
  <Characters>5911</Characters>
  <Application>Microsoft Office Word</Application>
  <DocSecurity>0</DocSecurity>
  <Lines>49</Lines>
  <Paragraphs>13</Paragraphs>
  <ScaleCrop>false</ScaleCrop>
  <Company>Lenovo</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NTKO</cp:lastModifiedBy>
  <cp:revision>45</cp:revision>
  <cp:lastPrinted>2020-05-22T07:25:00Z</cp:lastPrinted>
  <dcterms:created xsi:type="dcterms:W3CDTF">2020-04-29T04:55:00Z</dcterms:created>
  <dcterms:modified xsi:type="dcterms:W3CDTF">2020-05-22T14:05:00Z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