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22514" w14:textId="77777777" w:rsidR="00B74533" w:rsidRDefault="004E3719">
      <w:pPr>
        <w:spacing w:beforeLines="50" w:before="156" w:afterLines="100" w:after="312" w:line="560" w:lineRule="exact"/>
        <w:outlineLvl w:val="0"/>
        <w:rPr>
          <w:rFonts w:ascii="黑体" w:eastAsia="黑体" w:hAnsi="黑体"/>
          <w:sz w:val="32"/>
          <w:szCs w:val="32"/>
        </w:rPr>
      </w:pPr>
      <w:bookmarkStart w:id="0" w:name="_Toc393"/>
      <w:bookmarkStart w:id="1" w:name="_Toc14665"/>
      <w:bookmarkStart w:id="2" w:name="_Toc9577"/>
      <w:bookmarkStart w:id="3" w:name="_Toc623"/>
      <w:bookmarkStart w:id="4" w:name="_Toc24698"/>
      <w:bookmarkStart w:id="5" w:name="_Toc7425"/>
      <w:bookmarkStart w:id="6" w:name="_Toc21448"/>
      <w:bookmarkStart w:id="7" w:name="_Toc20159"/>
      <w:bookmarkStart w:id="8" w:name="_Toc2981"/>
      <w:bookmarkStart w:id="9" w:name="_Toc17144"/>
      <w:bookmarkStart w:id="10" w:name="_Toc18170"/>
      <w:bookmarkStart w:id="11" w:name="_Toc23218"/>
      <w:bookmarkStart w:id="12" w:name="_Toc3608"/>
      <w:bookmarkStart w:id="13" w:name="_Toc12151"/>
      <w:r>
        <w:rPr>
          <w:rFonts w:ascii="黑体" w:eastAsia="黑体" w:hAnsi="黑体" w:hint="eastAsia"/>
          <w:sz w:val="32"/>
          <w:szCs w:val="32"/>
        </w:rPr>
        <w:t>附录4: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03F8C02" w14:textId="77777777" w:rsidR="00B74533" w:rsidRDefault="004E3719">
      <w:pPr>
        <w:spacing w:afterLines="100" w:after="312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4" w:name="_Toc15631"/>
      <w:bookmarkStart w:id="15" w:name="_Toc25437"/>
      <w:bookmarkStart w:id="16" w:name="_Toc8760"/>
      <w:bookmarkStart w:id="17" w:name="_Toc12450"/>
      <w:bookmarkStart w:id="18" w:name="_Toc13375"/>
      <w:bookmarkStart w:id="19" w:name="_Toc30367"/>
      <w:bookmarkStart w:id="20" w:name="_Toc6882"/>
      <w:bookmarkStart w:id="21" w:name="_Toc7267"/>
      <w:bookmarkStart w:id="22" w:name="_Toc13630"/>
      <w:bookmarkStart w:id="23" w:name="_Toc27648"/>
      <w:bookmarkStart w:id="24" w:name="_Toc878"/>
      <w:bookmarkStart w:id="25" w:name="_Toc3667"/>
      <w:bookmarkStart w:id="26" w:name="_Toc10188"/>
      <w:bookmarkStart w:id="27" w:name="_Toc2468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辅助设施检查要点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5E8AD65" w14:textId="3478F932" w:rsidR="00B74533" w:rsidRPr="00C521C7" w:rsidRDefault="00C521C7" w:rsidP="00C521C7">
      <w:pPr>
        <w:spacing w:line="560" w:lineRule="exact"/>
        <w:jc w:val="center"/>
        <w:rPr>
          <w:rFonts w:ascii="仿宋_GB2312" w:eastAsia="仿宋_GB2312" w:hAnsi="方正小标宋简体" w:cs="方正小标宋简体"/>
          <w:sz w:val="36"/>
          <w:szCs w:val="36"/>
        </w:rPr>
      </w:pPr>
      <w:r w:rsidRPr="00C521C7">
        <w:rPr>
          <w:rFonts w:ascii="仿宋_GB2312" w:eastAsia="仿宋_GB2312" w:hAnsi="方正小标宋简体" w:cs="方正小标宋简体" w:hint="eastAsia"/>
          <w:sz w:val="36"/>
          <w:szCs w:val="36"/>
        </w:rPr>
        <w:t>（征求意见稿）</w:t>
      </w:r>
    </w:p>
    <w:p w14:paraId="00EB17DA" w14:textId="77777777" w:rsidR="00B74533" w:rsidRDefault="004E3719">
      <w:pPr>
        <w:spacing w:line="56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28" w:name="_Toc1454"/>
      <w:bookmarkStart w:id="29" w:name="_Toc25022"/>
      <w:bookmarkStart w:id="30" w:name="_Toc22959"/>
      <w:bookmarkStart w:id="31" w:name="_Toc26278"/>
      <w:bookmarkStart w:id="32" w:name="_Toc2909"/>
      <w:bookmarkStart w:id="33" w:name="_Toc25038"/>
      <w:bookmarkStart w:id="34" w:name="_Toc20257"/>
      <w:bookmarkStart w:id="35" w:name="_Toc19434"/>
      <w:bookmarkStart w:id="36" w:name="_Toc15495"/>
      <w:bookmarkStart w:id="37" w:name="_Toc32544"/>
      <w:bookmarkStart w:id="38" w:name="_Toc18834"/>
      <w:bookmarkStart w:id="39" w:name="_Toc16684"/>
      <w:bookmarkStart w:id="40" w:name="_Toc2016"/>
      <w:bookmarkStart w:id="41" w:name="_Toc22228"/>
      <w:r>
        <w:rPr>
          <w:rFonts w:ascii="黑体" w:eastAsia="黑体" w:hAnsi="黑体" w:cs="黑体" w:hint="eastAsia"/>
          <w:sz w:val="32"/>
          <w:szCs w:val="32"/>
        </w:rPr>
        <w:t>一、概述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5FEAD15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辅助设施通常包含公用设施系统和辐射防护系统，其作为质子/碳离子治疗系统正常运行必不可少的条件。对于实现质子/碳离子治疗系统功能，保障外围环境的辐射水平、保证系统的稳定性和可靠性至关重要。</w:t>
      </w:r>
    </w:p>
    <w:p w14:paraId="2642E2E3" w14:textId="77777777" w:rsidR="00B74533" w:rsidRDefault="004E3719">
      <w:pPr>
        <w:spacing w:line="56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42" w:name="_Toc28443"/>
      <w:bookmarkStart w:id="43" w:name="_Toc14453"/>
      <w:bookmarkStart w:id="44" w:name="_Toc14799"/>
      <w:bookmarkStart w:id="45" w:name="_Toc16875"/>
      <w:bookmarkStart w:id="46" w:name="_Toc680"/>
      <w:bookmarkStart w:id="47" w:name="_Toc16165"/>
      <w:bookmarkStart w:id="48" w:name="_Toc30463"/>
      <w:bookmarkStart w:id="49" w:name="_Toc14511"/>
      <w:bookmarkStart w:id="50" w:name="_Toc31890"/>
      <w:bookmarkStart w:id="51" w:name="_Toc20100"/>
      <w:bookmarkStart w:id="52" w:name="_Toc24703"/>
      <w:bookmarkStart w:id="53" w:name="_Toc12400"/>
      <w:bookmarkStart w:id="54" w:name="_Toc13812"/>
      <w:bookmarkStart w:id="55" w:name="_Toc1725"/>
      <w:r>
        <w:rPr>
          <w:rFonts w:ascii="黑体" w:eastAsia="黑体" w:hAnsi="黑体" w:cs="黑体" w:hint="eastAsia"/>
          <w:sz w:val="32"/>
          <w:szCs w:val="32"/>
        </w:rPr>
        <w:t>二、公用设施系统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F06DEC0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56" w:name="_Toc6033"/>
      <w:bookmarkStart w:id="57" w:name="_Toc26332"/>
      <w:bookmarkStart w:id="58" w:name="_Toc1481"/>
      <w:bookmarkStart w:id="59" w:name="_Toc4249"/>
      <w:bookmarkStart w:id="60" w:name="_Toc6192"/>
      <w:bookmarkStart w:id="61" w:name="_Toc16734"/>
      <w:bookmarkStart w:id="62" w:name="_Toc18687"/>
      <w:bookmarkStart w:id="63" w:name="_Toc28140"/>
      <w:bookmarkStart w:id="64" w:name="_Toc16187"/>
      <w:bookmarkStart w:id="65" w:name="_Toc12801"/>
      <w:bookmarkStart w:id="66" w:name="_Toc6627"/>
      <w:bookmarkStart w:id="67" w:name="_Toc10438"/>
      <w:bookmarkStart w:id="68" w:name="_Toc32139"/>
      <w:bookmarkStart w:id="69" w:name="_Toc14167"/>
      <w:r>
        <w:rPr>
          <w:rFonts w:ascii="楷体_GB2312" w:eastAsia="楷体_GB2312" w:hAnsi="楷体_GB2312" w:cs="楷体_GB2312" w:hint="eastAsia"/>
          <w:sz w:val="32"/>
          <w:szCs w:val="32"/>
        </w:rPr>
        <w:t>（一）概述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759C661B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1.公用设施主要包括冷却水系统、低压配电系统、通风空调系统、接地系统、供气系统。</w:t>
      </w:r>
    </w:p>
    <w:p w14:paraId="0C060B7A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2.冷却水系统由水制备、水运输和温度、压力监控设备的组合，主要为加速器设备提供冷却循环水。</w:t>
      </w:r>
    </w:p>
    <w:p w14:paraId="5EF30FED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3.低压配电系统为整个治疗系统提供工艺配电。</w:t>
      </w:r>
    </w:p>
    <w:p w14:paraId="2DB6D150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4.通风空调系统为加速器提供适宜的环境温湿度及通风条件。</w:t>
      </w:r>
    </w:p>
    <w:p w14:paraId="5988B836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5.供气系统主要为用气设备提供气源，主要包括气体制备设备、储气设备和监控设备等。</w:t>
      </w:r>
    </w:p>
    <w:p w14:paraId="6D0FDAC3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6.接地系统提供接地点及符合要求的接地电阻。</w:t>
      </w:r>
    </w:p>
    <w:p w14:paraId="1448614E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70" w:name="_Toc11087"/>
      <w:bookmarkStart w:id="71" w:name="_Toc3072"/>
      <w:bookmarkStart w:id="72" w:name="_Toc9678"/>
      <w:bookmarkStart w:id="73" w:name="_Toc24006"/>
      <w:bookmarkStart w:id="74" w:name="_Toc21989"/>
      <w:bookmarkStart w:id="75" w:name="_Toc5064"/>
      <w:bookmarkStart w:id="76" w:name="_Toc5324"/>
      <w:bookmarkStart w:id="77" w:name="_Toc19633"/>
      <w:bookmarkStart w:id="78" w:name="_Toc2628"/>
      <w:bookmarkStart w:id="79" w:name="_Toc988"/>
      <w:bookmarkStart w:id="80" w:name="_Toc18961"/>
      <w:bookmarkStart w:id="81" w:name="_Toc19388"/>
      <w:bookmarkStart w:id="82" w:name="_Toc27277"/>
      <w:bookmarkStart w:id="83" w:name="_Toc25296"/>
      <w:r>
        <w:rPr>
          <w:rFonts w:ascii="楷体_GB2312" w:eastAsia="楷体_GB2312" w:hAnsi="楷体_GB2312" w:cs="楷体_GB2312" w:hint="eastAsia"/>
          <w:sz w:val="32"/>
          <w:szCs w:val="32"/>
        </w:rPr>
        <w:t>（二）风险点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3411943" w14:textId="77777777" w:rsidR="00B74533" w:rsidRDefault="004E3719">
      <w:pPr>
        <w:pStyle w:val="1"/>
        <w:spacing w:line="560" w:lineRule="exact"/>
        <w:ind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冷却水系统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风险点主要包括：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供水压力、温度、水质和监测仪表的准确性（通过抽样校准或比对）。</w:t>
      </w:r>
    </w:p>
    <w:p w14:paraId="756BA8ED" w14:textId="77777777" w:rsidR="00B74533" w:rsidRDefault="004E3719">
      <w:pPr>
        <w:pStyle w:val="1"/>
        <w:spacing w:line="560" w:lineRule="exact"/>
        <w:ind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2.供气系统风险点主要包括：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供气压力和压力容器管理。</w:t>
      </w:r>
    </w:p>
    <w:p w14:paraId="2402B983" w14:textId="77777777" w:rsidR="00B74533" w:rsidRDefault="004E3719">
      <w:pPr>
        <w:pStyle w:val="1"/>
        <w:spacing w:line="560" w:lineRule="exact"/>
        <w:ind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3.低压配电系统风险点主要包括：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电能质量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供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电电源电压、功率因数、谐波含量。</w:t>
      </w:r>
    </w:p>
    <w:p w14:paraId="6D965423" w14:textId="77777777" w:rsidR="00B74533" w:rsidRDefault="004E3719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4.接地系统风险点主要包括：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接地电阻</w:t>
      </w:r>
      <w:r>
        <w:rPr>
          <w:rFonts w:ascii="仿宋_GB2312" w:eastAsia="仿宋_GB2312" w:hAnsi="仿宋_GB2312" w:cs="仿宋_GB2312" w:hint="eastAsia"/>
          <w:sz w:val="32"/>
          <w:szCs w:val="32"/>
        </w:rPr>
        <w:t>测量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5881442F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5.通风空调系统风险点主要包括：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滤网、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温湿度监控、通风方式、换气次数。</w:t>
      </w:r>
    </w:p>
    <w:p w14:paraId="3CA8B946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84" w:name="_Toc18194"/>
      <w:bookmarkStart w:id="85" w:name="_Toc3888"/>
      <w:bookmarkStart w:id="86" w:name="_Toc3965"/>
      <w:bookmarkStart w:id="87" w:name="_Toc836"/>
      <w:bookmarkStart w:id="88" w:name="_Toc5405"/>
      <w:bookmarkStart w:id="89" w:name="_Toc17518"/>
      <w:bookmarkStart w:id="90" w:name="_Toc26252"/>
      <w:bookmarkStart w:id="91" w:name="_Toc32259"/>
      <w:bookmarkStart w:id="92" w:name="_Toc19326"/>
      <w:bookmarkStart w:id="93" w:name="_Toc30765"/>
      <w:bookmarkStart w:id="94" w:name="_Toc16066"/>
      <w:bookmarkStart w:id="95" w:name="_Toc12394"/>
      <w:bookmarkStart w:id="96" w:name="_Toc7769"/>
      <w:bookmarkStart w:id="97" w:name="_Toc3052"/>
      <w:r>
        <w:rPr>
          <w:rFonts w:ascii="楷体_GB2312" w:eastAsia="楷体_GB2312" w:hAnsi="楷体_GB2312" w:cs="楷体_GB2312" w:hint="eastAsia"/>
          <w:sz w:val="32"/>
          <w:szCs w:val="32"/>
        </w:rPr>
        <w:t>（三）检查要点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2FD874D1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98" w:name="_Toc20473"/>
      <w:bookmarkStart w:id="99" w:name="_Toc25030"/>
      <w:bookmarkStart w:id="100" w:name="_Toc24391"/>
      <w:bookmarkStart w:id="101" w:name="_Toc29226"/>
      <w:bookmarkStart w:id="102" w:name="_Toc8319"/>
      <w:bookmarkStart w:id="103" w:name="_Toc15812"/>
      <w:r>
        <w:rPr>
          <w:rFonts w:ascii="仿宋_GB2312" w:eastAsia="仿宋_GB2312" w:hAnsi="仿宋_GB2312" w:cs="仿宋_GB2312" w:hint="eastAsia"/>
          <w:sz w:val="32"/>
          <w:szCs w:val="32"/>
        </w:rPr>
        <w:t>1.人员</w:t>
      </w:r>
    </w:p>
    <w:p w14:paraId="1E064D38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企业应具备工艺冷却水设计、供气系统设计、低压配电设计、通风空调系统设计等技术人员。</w:t>
      </w:r>
    </w:p>
    <w:p w14:paraId="72CD2845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104" w:name="_Toc24872"/>
      <w:bookmarkStart w:id="105" w:name="_Toc25077"/>
      <w:bookmarkStart w:id="106" w:name="_Toc20856"/>
      <w:bookmarkStart w:id="107" w:name="_Toc30034"/>
      <w:bookmarkStart w:id="108" w:name="_Toc7146"/>
      <w:bookmarkStart w:id="109" w:name="_Toc913"/>
      <w:r>
        <w:rPr>
          <w:rFonts w:ascii="仿宋_GB2312" w:eastAsia="仿宋_GB2312" w:hAnsi="仿宋_GB2312" w:cs="仿宋_GB2312" w:hint="eastAsia"/>
          <w:sz w:val="32"/>
          <w:szCs w:val="32"/>
        </w:rPr>
        <w:t>2.厂房与设施</w:t>
      </w:r>
      <w:bookmarkEnd w:id="104"/>
      <w:bookmarkEnd w:id="105"/>
      <w:bookmarkEnd w:id="106"/>
      <w:bookmarkEnd w:id="107"/>
      <w:bookmarkEnd w:id="108"/>
      <w:bookmarkEnd w:id="109"/>
    </w:p>
    <w:p w14:paraId="438ED17B" w14:textId="27DDB65F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kern w:val="0"/>
          <w:sz w:val="32"/>
          <w:szCs w:val="28"/>
        </w:rPr>
        <w:t>1）企业</w:t>
      </w:r>
      <w:r w:rsidR="004E3719"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应</w:t>
      </w:r>
      <w:r w:rsidR="004E3719">
        <w:rPr>
          <w:rFonts w:ascii="仿宋_GB2312" w:eastAsia="仿宋_GB2312" w:hAnsi="Arial" w:cs="Arial" w:hint="eastAsia"/>
          <w:kern w:val="0"/>
          <w:sz w:val="32"/>
          <w:szCs w:val="28"/>
        </w:rPr>
        <w:t>在进场前完成</w:t>
      </w:r>
      <w:r w:rsidR="004E3719"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土建验收，具备公共设施设备进场安装的条件。</w:t>
      </w:r>
    </w:p>
    <w:p w14:paraId="5907439C" w14:textId="5C52AD31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2）安装现场应完成设备安装区域整体土建施工及机电安装工程。</w:t>
      </w:r>
    </w:p>
    <w:p w14:paraId="06B98F0B" w14:textId="4E21DE91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3）安装现场应具备临时水电、通风照明、起重机等基础设施及设备应能够正常使用，功能完善，应具有特种设备如天车、叉车等的资格证书。</w:t>
      </w:r>
    </w:p>
    <w:p w14:paraId="179E1478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3.文件管理</w:t>
      </w:r>
    </w:p>
    <w:p w14:paraId="4B4AD98F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企业应根据实际情况及产品特点采用信息化管理手段，实现文件和记录电子化，便于管理、使用与知识共享。</w:t>
      </w:r>
    </w:p>
    <w:p w14:paraId="47D744AE" w14:textId="63D35F42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1）企业应建立与公用设施系统相适应的质量管理体系文件，包括质量手册、程序文件、规范制度、技术文件和记录等。技术文件应当包括产品技术要求及相关标准、作业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lastRenderedPageBreak/>
        <w:t>指导书、检验作业规程和运维操作规程等相关文件。记录应当确保产品采购、质量控制、运维管理等活动可追溯。</w:t>
      </w:r>
    </w:p>
    <w:p w14:paraId="61C629C4" w14:textId="782B1C8F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2）企业应建立文件控制程序，系统地设计、制定、审核、批准和发放质量管理体系文件。文件更新或修订时，应按规定评审和批准，应能识别文件的更改和修订状态。分发和使用的文件应当为适宜的文本。</w:t>
      </w:r>
    </w:p>
    <w:p w14:paraId="0CD0C65C" w14:textId="482A8603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3）企业应建立记录控制程序，包括记录的标识、保管、检索、保存期限和处置要求等。记录应当保证产品生产、质量控制等活动的可追溯。记录应当清晰、完整，易于识别和检索，防止破损和丢失。记录不得随意涂改或销毁。</w:t>
      </w:r>
    </w:p>
    <w:p w14:paraId="0E1A1BBA" w14:textId="61B9FBBD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4）公共设施系统采购、安装、调试、检验、运维等过程相关的记录应永久保存；对于受控文件/记录应根据企业的规定处置。</w:t>
      </w:r>
    </w:p>
    <w:p w14:paraId="0B87A8D1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4.采购控制</w:t>
      </w:r>
    </w:p>
    <w:p w14:paraId="6E642035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采购技术文件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或采购合同中应明确主要技术参数、规格型号、质量要求及验收标准等内容，必要时需供方提供出厂检验报告。</w:t>
      </w:r>
    </w:p>
    <w:p w14:paraId="44547961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110" w:name="_Toc97"/>
      <w:bookmarkStart w:id="111" w:name="_Toc29116"/>
      <w:bookmarkStart w:id="112" w:name="_Toc19035"/>
      <w:bookmarkStart w:id="113" w:name="_Toc2554"/>
      <w:bookmarkStart w:id="114" w:name="_Toc25731"/>
      <w:bookmarkStart w:id="115" w:name="_Toc23417"/>
      <w:bookmarkStart w:id="116" w:name="_Toc24571"/>
      <w:bookmarkStart w:id="117" w:name="_Toc3616"/>
      <w:bookmarkStart w:id="118" w:name="_Toc23713"/>
      <w:bookmarkStart w:id="119" w:name="_Toc17277"/>
      <w:bookmarkStart w:id="120" w:name="_Toc1904"/>
      <w:bookmarkStart w:id="121" w:name="_Toc28240"/>
      <w:bookmarkStart w:id="122" w:name="_Toc20293"/>
      <w:bookmarkStart w:id="123" w:name="_Toc30542"/>
      <w:r>
        <w:rPr>
          <w:rFonts w:ascii="仿宋_GB2312" w:eastAsia="仿宋_GB2312" w:hAnsi="仿宋_GB2312" w:cs="仿宋_GB2312" w:hint="eastAsia"/>
          <w:sz w:val="32"/>
          <w:szCs w:val="32"/>
        </w:rPr>
        <w:t>5.不合格品控制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7D144897" w14:textId="64200A21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1）企业应建立不合格品控制程序，规定不合格品控制的部门和人员的职责与权限。</w:t>
      </w:r>
    </w:p>
    <w:p w14:paraId="0135031D" w14:textId="1D8A485B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2）企业应明确不合格物料的识别、记录、隔离和评审流程，根据评审结果，对不合格物料采取相应的处置措施。</w:t>
      </w:r>
    </w:p>
    <w:p w14:paraId="3F3284B2" w14:textId="32654237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3）企业应按程序文件要求对不合格物料进行分门归类、原因分析，纠正预防措施应合理、有效。必要时，应进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lastRenderedPageBreak/>
        <w:t>行评审，且保留评审记录。</w:t>
      </w:r>
    </w:p>
    <w:p w14:paraId="161B76EE" w14:textId="3DF694A4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4）企业应对可以返工的不合格物料作出规定，应按照返工文件要求进行返工活动，并记录。</w:t>
      </w:r>
    </w:p>
    <w:p w14:paraId="77C1444C" w14:textId="0988B943" w:rsidR="00B74533" w:rsidRDefault="00BC013A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5）企业应建立不合格物料处置记录，记录内容应完整且能有效反映处置的过程，满足可追溯要求。</w:t>
      </w:r>
    </w:p>
    <w:p w14:paraId="1A00BAC4" w14:textId="77777777" w:rsidR="00B74533" w:rsidRDefault="004E3719">
      <w:pPr>
        <w:spacing w:line="560" w:lineRule="exact"/>
        <w:outlineLvl w:val="1"/>
        <w:rPr>
          <w:rFonts w:ascii="黑体" w:eastAsia="黑体" w:hAnsi="黑体" w:cs="黑体"/>
          <w:sz w:val="32"/>
          <w:szCs w:val="32"/>
        </w:rPr>
      </w:pPr>
      <w:bookmarkStart w:id="124" w:name="_Toc7983"/>
      <w:bookmarkStart w:id="125" w:name="_Toc24986"/>
      <w:bookmarkStart w:id="126" w:name="_Toc28012"/>
      <w:bookmarkStart w:id="127" w:name="_Toc5150"/>
      <w:bookmarkStart w:id="128" w:name="_Toc29246"/>
      <w:bookmarkStart w:id="129" w:name="_Toc674"/>
      <w:bookmarkStart w:id="130" w:name="_Toc27884"/>
      <w:bookmarkStart w:id="131" w:name="_Toc16264"/>
      <w:bookmarkStart w:id="132" w:name="_Toc25715"/>
      <w:bookmarkStart w:id="133" w:name="_Toc543"/>
      <w:bookmarkStart w:id="134" w:name="_Toc31390"/>
      <w:bookmarkStart w:id="135" w:name="_Toc29000"/>
      <w:bookmarkStart w:id="136" w:name="_Toc23365"/>
      <w:bookmarkStart w:id="137" w:name="_Toc19564"/>
      <w:bookmarkEnd w:id="98"/>
      <w:bookmarkEnd w:id="99"/>
      <w:bookmarkEnd w:id="100"/>
      <w:bookmarkEnd w:id="101"/>
      <w:bookmarkEnd w:id="102"/>
      <w:bookmarkEnd w:id="103"/>
      <w:r>
        <w:rPr>
          <w:rFonts w:ascii="黑体" w:eastAsia="黑体" w:hAnsi="黑体" w:cs="黑体" w:hint="eastAsia"/>
          <w:sz w:val="32"/>
          <w:szCs w:val="32"/>
        </w:rPr>
        <w:t>三、辐射防护系统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2909C1C1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138" w:name="_Toc16468"/>
      <w:bookmarkStart w:id="139" w:name="_Toc2066"/>
      <w:bookmarkStart w:id="140" w:name="_Toc630"/>
      <w:bookmarkStart w:id="141" w:name="_Toc8432"/>
      <w:bookmarkStart w:id="142" w:name="_Toc9956"/>
      <w:bookmarkStart w:id="143" w:name="_Toc20589"/>
      <w:bookmarkStart w:id="144" w:name="_Toc16950"/>
      <w:bookmarkStart w:id="145" w:name="_Toc22950"/>
      <w:bookmarkStart w:id="146" w:name="_Toc22595"/>
      <w:bookmarkStart w:id="147" w:name="_Toc20755"/>
      <w:bookmarkStart w:id="148" w:name="_Toc18018"/>
      <w:bookmarkStart w:id="149" w:name="_Toc7952"/>
      <w:bookmarkStart w:id="150" w:name="_Toc1874"/>
      <w:bookmarkStart w:id="151" w:name="_Toc25012"/>
      <w:r>
        <w:rPr>
          <w:rFonts w:ascii="楷体_GB2312" w:eastAsia="楷体_GB2312" w:hAnsi="楷体_GB2312" w:cs="楷体_GB2312" w:hint="eastAsia"/>
          <w:sz w:val="32"/>
          <w:szCs w:val="32"/>
        </w:rPr>
        <w:t>（一）概述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765AD234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辐射防护系统是质子/碳离子治疗系统正常运行的安全保障，包括辐射屏蔽、区域辐射监测系统和人身安全联锁系统等。</w:t>
      </w:r>
    </w:p>
    <w:p w14:paraId="153F0938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152" w:name="_Toc26068"/>
      <w:bookmarkStart w:id="153" w:name="_Toc30355"/>
      <w:bookmarkStart w:id="154" w:name="_Toc24661"/>
      <w:bookmarkStart w:id="155" w:name="_Toc27916"/>
      <w:bookmarkStart w:id="156" w:name="_Toc21588"/>
      <w:bookmarkStart w:id="157" w:name="_Toc8636"/>
      <w:bookmarkStart w:id="158" w:name="_Toc13954"/>
      <w:bookmarkStart w:id="159" w:name="_Toc4931"/>
      <w:bookmarkStart w:id="160" w:name="_Toc27665"/>
      <w:bookmarkStart w:id="161" w:name="_Toc21375"/>
      <w:bookmarkStart w:id="162" w:name="_Toc12844"/>
      <w:bookmarkStart w:id="163" w:name="_Toc5846"/>
      <w:bookmarkStart w:id="164" w:name="_Toc18237"/>
      <w:bookmarkStart w:id="165" w:name="_Toc9948"/>
      <w:r>
        <w:rPr>
          <w:rFonts w:ascii="楷体_GB2312" w:eastAsia="楷体_GB2312" w:hAnsi="楷体_GB2312" w:cs="楷体_GB2312" w:hint="eastAsia"/>
          <w:sz w:val="32"/>
          <w:szCs w:val="32"/>
        </w:rPr>
        <w:t>（二）风险点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55B830DF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1.辐射屏蔽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辐射源项分析、屏蔽设计。</w:t>
      </w:r>
    </w:p>
    <w:p w14:paraId="50710A6E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2.辐射监测系统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探测器性能、功能。</w:t>
      </w:r>
    </w:p>
    <w:p w14:paraId="052CFC06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3.人身安全联锁系统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风险点主要包括：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：设计原则的采用（失效保护、硬件最可靠、冗余设计独立性等）和核心联锁设备的可靠性及稳定性。</w:t>
      </w:r>
    </w:p>
    <w:p w14:paraId="73AE4F9B" w14:textId="77777777" w:rsidR="00B74533" w:rsidRDefault="004E3719">
      <w:pPr>
        <w:spacing w:line="560" w:lineRule="exact"/>
        <w:ind w:firstLineChars="200" w:firstLine="640"/>
        <w:outlineLvl w:val="2"/>
        <w:rPr>
          <w:rFonts w:ascii="楷体_GB2312" w:eastAsia="楷体_GB2312" w:hAnsi="楷体_GB2312" w:cs="楷体_GB2312"/>
          <w:sz w:val="32"/>
          <w:szCs w:val="32"/>
        </w:rPr>
      </w:pPr>
      <w:bookmarkStart w:id="166" w:name="_Toc22895"/>
      <w:bookmarkStart w:id="167" w:name="_Toc21898"/>
      <w:bookmarkStart w:id="168" w:name="_Toc30681"/>
      <w:bookmarkStart w:id="169" w:name="_Toc7968"/>
      <w:bookmarkStart w:id="170" w:name="_Toc9669"/>
      <w:bookmarkStart w:id="171" w:name="_Toc5646"/>
      <w:bookmarkStart w:id="172" w:name="_Toc8489"/>
      <w:bookmarkStart w:id="173" w:name="_Toc11873"/>
      <w:bookmarkStart w:id="174" w:name="_Toc26598"/>
      <w:bookmarkStart w:id="175" w:name="_Toc30338"/>
      <w:bookmarkStart w:id="176" w:name="_Toc31597"/>
      <w:bookmarkStart w:id="177" w:name="_Toc17640"/>
      <w:bookmarkStart w:id="178" w:name="_Toc725"/>
      <w:bookmarkStart w:id="179" w:name="_Toc16624"/>
      <w:r>
        <w:rPr>
          <w:rFonts w:ascii="楷体_GB2312" w:eastAsia="楷体_GB2312" w:hAnsi="楷体_GB2312" w:cs="楷体_GB2312" w:hint="eastAsia"/>
          <w:sz w:val="32"/>
          <w:szCs w:val="32"/>
        </w:rPr>
        <w:t>（三）检查要点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0130F29C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180" w:name="_Toc24657"/>
      <w:bookmarkStart w:id="181" w:name="_Toc4018"/>
      <w:bookmarkStart w:id="182" w:name="_Toc4347"/>
      <w:bookmarkStart w:id="183" w:name="_Toc21712"/>
      <w:bookmarkStart w:id="184" w:name="_Toc173"/>
      <w:bookmarkStart w:id="185" w:name="_Toc25698"/>
      <w:r>
        <w:rPr>
          <w:rFonts w:ascii="仿宋_GB2312" w:eastAsia="仿宋_GB2312" w:hAnsi="仿宋_GB2312" w:cs="仿宋_GB2312" w:hint="eastAsia"/>
          <w:sz w:val="32"/>
          <w:szCs w:val="32"/>
        </w:rPr>
        <w:t>1.人员</w:t>
      </w:r>
      <w:bookmarkEnd w:id="180"/>
      <w:bookmarkEnd w:id="181"/>
      <w:bookmarkEnd w:id="182"/>
      <w:bookmarkEnd w:id="183"/>
      <w:bookmarkEnd w:id="184"/>
      <w:bookmarkEnd w:id="185"/>
    </w:p>
    <w:p w14:paraId="4DD8038B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企业应配备辐射屏蔽、辐射监测系统、人身安全联锁系统设计人员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。</w:t>
      </w:r>
    </w:p>
    <w:p w14:paraId="10DBA937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2.厂房与设施</w:t>
      </w:r>
    </w:p>
    <w:p w14:paraId="55F75927" w14:textId="6FF62E1E" w:rsidR="00B74533" w:rsidRDefault="00BC013A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sz w:val="32"/>
          <w:szCs w:val="32"/>
        </w:rPr>
        <w:t>1）项目环评应得到审批许可。</w:t>
      </w:r>
    </w:p>
    <w:p w14:paraId="0D241386" w14:textId="259DFD85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28"/>
        </w:rPr>
      </w:pPr>
      <w:bookmarkStart w:id="186" w:name="_Toc28584"/>
      <w:bookmarkStart w:id="187" w:name="_Toc29513"/>
      <w:bookmarkStart w:id="188" w:name="_Toc27221"/>
      <w:bookmarkStart w:id="189" w:name="_Toc15830"/>
      <w:bookmarkStart w:id="190" w:name="_Toc24426"/>
      <w:bookmarkStart w:id="191" w:name="_Toc7731"/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kern w:val="0"/>
          <w:sz w:val="32"/>
          <w:szCs w:val="28"/>
        </w:rPr>
        <w:t>2）土建进场验收应当完成，具备辐射防护设施设备进场安装的条件。</w:t>
      </w:r>
    </w:p>
    <w:p w14:paraId="3C0DB3CD" w14:textId="12FAE27C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lastRenderedPageBreak/>
        <w:t>（</w:t>
      </w:r>
      <w:r w:rsidR="004E3719">
        <w:rPr>
          <w:rFonts w:ascii="仿宋_GB2312" w:eastAsia="仿宋_GB2312" w:hAnsi="仿宋_GB2312" w:cs="仿宋_GB2312" w:hint="eastAsia"/>
          <w:color w:val="000000"/>
          <w:kern w:val="0"/>
          <w:sz w:val="32"/>
          <w:szCs w:val="28"/>
        </w:rPr>
        <w:t>3）现场各辐射区与辐射区或非辐射区不应有要求封堵但未封堵的洞口。</w:t>
      </w:r>
    </w:p>
    <w:p w14:paraId="74B79B2F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3.设备</w:t>
      </w:r>
      <w:bookmarkEnd w:id="186"/>
      <w:bookmarkEnd w:id="187"/>
      <w:bookmarkEnd w:id="188"/>
      <w:bookmarkEnd w:id="189"/>
      <w:bookmarkEnd w:id="190"/>
      <w:bookmarkEnd w:id="191"/>
    </w:p>
    <w:p w14:paraId="42C94080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设备主要包括生产设备、监视测量设备。</w:t>
      </w:r>
    </w:p>
    <w:p w14:paraId="3DBC5407" w14:textId="2B10A40C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1）生产设备：</w:t>
      </w:r>
    </w:p>
    <w:p w14:paraId="7CF06F19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①企业应当配备满足生产所需的生产设备。</w:t>
      </w:r>
    </w:p>
    <w:p w14:paraId="2EE31B21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②生产设备的加工精度应当符合并满足所生产产品的零部件或组件、半成品、成品的质量性能的要求。</w:t>
      </w:r>
    </w:p>
    <w:p w14:paraId="59947D01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③生产设备的选型、安装、维修、维护应当符合其预定的用途。</w:t>
      </w:r>
    </w:p>
    <w:p w14:paraId="308C7C29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④企业应建立生产设备使用、清洁、维护和维修的操作规程，现行有效并易于获得使用；使用、维护和维修记录应完整。</w:t>
      </w:r>
    </w:p>
    <w:p w14:paraId="1B21310B" w14:textId="6B1D0D67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2）检验设备：</w:t>
      </w:r>
    </w:p>
    <w:p w14:paraId="443B1E96" w14:textId="77777777" w:rsidR="00B74533" w:rsidRDefault="004E37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①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常规监视测量设备包括：长度测量设备（如：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钢板直尺、游标卡尺、千分尺等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）、电压电流测量设备（如：万用表、绝缘电阻测试仪）、温湿度监测设备（如：温湿度计、红外测量仪、电子温度传感器）、其他测量设备（如：中子巡测仪、数字示波器）等。</w:t>
      </w:r>
    </w:p>
    <w:p w14:paraId="2B113337" w14:textId="77777777" w:rsidR="00B74533" w:rsidRDefault="004E37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②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辐射测量设备：辐射防护用剂量测量设备（中子周围剂量当量仪、伽马剂量仪、手持式γ剂量仪）等。</w:t>
      </w:r>
    </w:p>
    <w:p w14:paraId="20B5CF00" w14:textId="77777777" w:rsidR="00B74533" w:rsidRDefault="004E37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t>③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企业应建立监视测量设备相关管理程序文件，应对设备的采购、检定/校准、使用、维护保养等方面进行规定，并按照规定执行。</w:t>
      </w:r>
    </w:p>
    <w:p w14:paraId="79D303FF" w14:textId="77777777" w:rsidR="00B74533" w:rsidRDefault="004E37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color w:val="000000"/>
          <w:sz w:val="32"/>
          <w:szCs w:val="28"/>
        </w:rPr>
        <w:lastRenderedPageBreak/>
        <w:t>④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企业应配备满足辐射防护系统检测活动所需的监视测量设备，主要仪器和设备应建立操作规程和使用记录。</w:t>
      </w:r>
    </w:p>
    <w:p w14:paraId="2F4D350A" w14:textId="77777777" w:rsidR="00B74533" w:rsidRDefault="004E37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 xml:space="preserve"> = 5 \* GB3 \* MERGEFORMAT </w:instrTex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企业应建立监视测量设备台账，应规定监视测量设备检定/校准周期以及制定年度检定/校准计划；对于项目现场上线用于监控的特殊仪器设备，企业应建立抽样检定/校准规定并按规定执行。</w:t>
      </w:r>
    </w:p>
    <w:p w14:paraId="504652DE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 xml:space="preserve"> = 6 \* GB3 \* MERGEFORMAT </w:instrTex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对不满足使用要求的检验仪器和设备，应对以往检验和试验结果进行有效性评价，并保存评价记录。</w:t>
      </w:r>
    </w:p>
    <w:p w14:paraId="34E5F78D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192" w:name="_Toc3663"/>
      <w:bookmarkStart w:id="193" w:name="_Toc29215"/>
      <w:bookmarkStart w:id="194" w:name="_Toc11747"/>
      <w:bookmarkStart w:id="195" w:name="_Toc6116"/>
      <w:bookmarkStart w:id="196" w:name="_Toc28716"/>
      <w:bookmarkStart w:id="197" w:name="_Toc2705"/>
      <w:r>
        <w:rPr>
          <w:rFonts w:ascii="仿宋_GB2312" w:eastAsia="仿宋_GB2312" w:hAnsi="仿宋_GB2312" w:cs="仿宋_GB2312" w:hint="eastAsia"/>
          <w:sz w:val="32"/>
          <w:szCs w:val="32"/>
        </w:rPr>
        <w:t>4.文件</w:t>
      </w:r>
      <w:bookmarkEnd w:id="192"/>
      <w:bookmarkEnd w:id="193"/>
      <w:bookmarkEnd w:id="194"/>
      <w:bookmarkEnd w:id="195"/>
      <w:bookmarkEnd w:id="196"/>
      <w:bookmarkEnd w:id="197"/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</w:p>
    <w:p w14:paraId="474A0C4C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企业应根据实际情况及产品特点采用信息化管理手段，实现文件和记录电子化，便于管理、使用与知识共享。</w:t>
      </w:r>
    </w:p>
    <w:p w14:paraId="1102FFC5" w14:textId="1D6FF864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）企业应建立与其相适应的质量管理体系文件，包括质量手册、程序文件、规范制度、技术文件和记录等。技术文件应当包括产品技术要求及相关标准、生产工艺规程、作业指导书、检验作业规程和运维操作规程等相关文件。记录应当确保产品采购、生产、质量控制、运维管理等活动可追溯。</w:t>
      </w:r>
    </w:p>
    <w:p w14:paraId="01199639" w14:textId="6AFE1C1C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2）企业应建立文件控制程序，系统地设计、制定、审核、批准和发放质量管理体系文件。文件更新或修订时，应按规定评审和批准，应能识别文件的更改和修订状态。分发和使用的文件应当为适宜的文本。</w:t>
      </w:r>
    </w:p>
    <w:p w14:paraId="47497D48" w14:textId="79FA6DD1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3）企业应建立记录控制程序，包括记录的标识、保管、检索、保存期限和处置要求等。记录应当保证产品生产、质量控制等活动的可追溯。记录应当清晰、完整，易于识别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lastRenderedPageBreak/>
        <w:t>和检索，防止破损和丢失。记录不得随意涂改或销毁。</w:t>
      </w:r>
    </w:p>
    <w:p w14:paraId="17AB33EE" w14:textId="1CB6AFC0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4）辐射防护系统采购、生产、安装、调试、检验、运维等过程相关的记录应永久保存；对于受控文件/记录应根据企业的规定处置。</w:t>
      </w:r>
    </w:p>
    <w:p w14:paraId="64ED9C42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198" w:name="_Toc6432"/>
      <w:bookmarkStart w:id="199" w:name="_Toc67"/>
      <w:bookmarkStart w:id="200" w:name="_Toc16320"/>
      <w:bookmarkStart w:id="201" w:name="_Toc22406"/>
      <w:bookmarkStart w:id="202" w:name="_Toc22128"/>
      <w:bookmarkStart w:id="203" w:name="_Toc8535"/>
      <w:r>
        <w:rPr>
          <w:rFonts w:ascii="仿宋_GB2312" w:eastAsia="仿宋_GB2312" w:hAnsi="仿宋_GB2312" w:cs="仿宋_GB2312" w:hint="eastAsia"/>
          <w:sz w:val="32"/>
          <w:szCs w:val="32"/>
        </w:rPr>
        <w:t>5.采购控制</w:t>
      </w:r>
    </w:p>
    <w:p w14:paraId="3C528CCC" w14:textId="77777777" w:rsidR="00B74533" w:rsidRDefault="004E371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28"/>
        </w:rPr>
        <w:t>采购技术文件</w:t>
      </w:r>
      <w:r>
        <w:rPr>
          <w:rFonts w:ascii="仿宋_GB2312" w:eastAsia="仿宋_GB2312" w:hAnsi="Arial" w:cs="Arial" w:hint="eastAsia"/>
          <w:color w:val="000000"/>
          <w:sz w:val="32"/>
          <w:szCs w:val="28"/>
        </w:rPr>
        <w:t>或采购合同中应明确主要技术参数、规格型号、质量要求及验收标准等内容，必要时需供方提供出厂检验报告。</w:t>
      </w:r>
    </w:p>
    <w:p w14:paraId="24519EB5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6.不合格品控制</w:t>
      </w:r>
    </w:p>
    <w:p w14:paraId="7374571A" w14:textId="1A06FD2B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1）企业应建立不合格品控制程序，规定不合格品控制的部门和人员的职责与权限。</w:t>
      </w:r>
    </w:p>
    <w:p w14:paraId="225E0BA0" w14:textId="546CEA1E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2）企业应明确不合格物料的识别、记录、隔离和评审流程，根据评审结果，对不合格物料采取相应的处置措施。</w:t>
      </w:r>
    </w:p>
    <w:p w14:paraId="0BBA0EB2" w14:textId="7CF9847B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3）企业应按程序文件要求对不合格物料进行分门归类、原因分析，纠正预防措施应合理、有效。必要时，应进行评审，且保留评审记录。</w:t>
      </w:r>
    </w:p>
    <w:p w14:paraId="19DDBEED" w14:textId="13357F37" w:rsidR="00B74533" w:rsidRDefault="00BC013A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4）企业应对可以返工的不合格物料作出规定，应按照返工文件要求进行返工活动，并记录。</w:t>
      </w:r>
    </w:p>
    <w:p w14:paraId="6F52AAD5" w14:textId="61DA3C9A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5）企业应建立不合格物料处置记录，记录内容应完整且能有效反映处置的过程，满足可追溯要求。</w:t>
      </w:r>
      <w:bookmarkEnd w:id="198"/>
      <w:bookmarkEnd w:id="199"/>
      <w:bookmarkEnd w:id="200"/>
      <w:bookmarkEnd w:id="201"/>
      <w:bookmarkEnd w:id="202"/>
      <w:bookmarkEnd w:id="203"/>
    </w:p>
    <w:p w14:paraId="4DE72136" w14:textId="77777777" w:rsidR="00B74533" w:rsidRDefault="004E3719">
      <w:pPr>
        <w:pStyle w:val="1"/>
        <w:spacing w:line="560" w:lineRule="exact"/>
        <w:ind w:firstLine="640"/>
        <w:outlineLvl w:val="4"/>
        <w:rPr>
          <w:rFonts w:ascii="仿宋_GB2312" w:eastAsia="仿宋_GB2312" w:hAnsi="仿宋_GB2312" w:cs="仿宋_GB2312"/>
          <w:sz w:val="32"/>
          <w:szCs w:val="32"/>
        </w:rPr>
      </w:pPr>
      <w:bookmarkStart w:id="204" w:name="_Toc17062"/>
      <w:bookmarkStart w:id="205" w:name="_Toc31862"/>
      <w:bookmarkStart w:id="206" w:name="_Toc28649"/>
      <w:bookmarkStart w:id="207" w:name="_Toc3768"/>
      <w:bookmarkStart w:id="208" w:name="_Toc9527"/>
      <w:bookmarkStart w:id="209" w:name="_Toc5559"/>
      <w:r>
        <w:rPr>
          <w:rFonts w:ascii="仿宋_GB2312" w:eastAsia="仿宋_GB2312" w:hAnsi="仿宋_GB2312" w:cs="仿宋_GB2312" w:hint="eastAsia"/>
          <w:sz w:val="32"/>
          <w:szCs w:val="32"/>
        </w:rPr>
        <w:t>7.资质要求</w:t>
      </w:r>
      <w:bookmarkEnd w:id="204"/>
      <w:bookmarkEnd w:id="205"/>
      <w:bookmarkEnd w:id="206"/>
      <w:bookmarkEnd w:id="207"/>
      <w:bookmarkEnd w:id="208"/>
      <w:bookmarkEnd w:id="209"/>
    </w:p>
    <w:p w14:paraId="36F2053C" w14:textId="2C179AC1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1）应当取得环评报告及环评批复文件。</w:t>
      </w:r>
    </w:p>
    <w:p w14:paraId="7DBFA8DB" w14:textId="4FC6CC8B" w:rsidR="00B74533" w:rsidRDefault="00BC013A">
      <w:pPr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28"/>
        </w:rPr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2）应当取得辐射安全许可证。</w:t>
      </w:r>
    </w:p>
    <w:p w14:paraId="25569275" w14:textId="5FDCC12F" w:rsidR="00B74533" w:rsidRDefault="00BC013A">
      <w:pPr>
        <w:spacing w:line="560" w:lineRule="exact"/>
        <w:ind w:firstLineChars="200" w:firstLine="640"/>
      </w:pPr>
      <w:r>
        <w:rPr>
          <w:rFonts w:ascii="仿宋_GB2312" w:eastAsia="仿宋_GB2312" w:hAnsi="Arial" w:cs="Arial" w:hint="eastAsia"/>
          <w:kern w:val="0"/>
          <w:sz w:val="32"/>
          <w:szCs w:val="28"/>
        </w:rPr>
        <w:t>（</w:t>
      </w:r>
      <w:bookmarkStart w:id="210" w:name="_GoBack"/>
      <w:bookmarkEnd w:id="210"/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t>3）应当检查工作场所辐射监测记录，是否符合要求；</w:t>
      </w:r>
      <w:r w:rsidR="004E3719">
        <w:rPr>
          <w:rFonts w:ascii="仿宋_GB2312" w:eastAsia="仿宋_GB2312" w:hAnsi="Arial" w:cs="Arial" w:hint="eastAsia"/>
          <w:color w:val="000000"/>
          <w:sz w:val="32"/>
          <w:szCs w:val="28"/>
        </w:rPr>
        <w:lastRenderedPageBreak/>
        <w:t>查看个人剂量值检测报告，是否满足国家规定的要求。</w:t>
      </w:r>
    </w:p>
    <w:sectPr w:rsidR="00B745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6F09E" w14:textId="77777777" w:rsidR="00316C28" w:rsidRDefault="00316C28" w:rsidP="00C521C7">
      <w:r>
        <w:separator/>
      </w:r>
    </w:p>
  </w:endnote>
  <w:endnote w:type="continuationSeparator" w:id="0">
    <w:p w14:paraId="45BF00FB" w14:textId="77777777" w:rsidR="00316C28" w:rsidRDefault="00316C28" w:rsidP="00C5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200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27F25A" w14:textId="7A5FFC9F" w:rsidR="00C521C7" w:rsidRDefault="00C521C7">
            <w:pPr>
              <w:pStyle w:val="a9"/>
              <w:jc w:val="center"/>
            </w:pPr>
            <w:r w:rsidRPr="00C521C7">
              <w:rPr>
                <w:rFonts w:ascii="宋体" w:hAnsi="宋体" w:hint="eastAsia"/>
                <w:sz w:val="21"/>
                <w:szCs w:val="21"/>
              </w:rPr>
              <w:t>第</w: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begin"/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instrText>PAGE</w:instrTex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separate"/>
            </w:r>
            <w:r w:rsidR="00BC013A">
              <w:rPr>
                <w:rFonts w:ascii="宋体" w:hAnsi="宋体"/>
                <w:bCs/>
                <w:noProof/>
                <w:sz w:val="21"/>
                <w:szCs w:val="21"/>
              </w:rPr>
              <w:t>8</w: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end"/>
            </w:r>
            <w:r w:rsidRPr="00C521C7">
              <w:rPr>
                <w:rFonts w:ascii="宋体" w:hAnsi="宋体" w:hint="eastAsia"/>
                <w:bCs/>
                <w:sz w:val="21"/>
                <w:szCs w:val="21"/>
              </w:rPr>
              <w:t>页</w: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 w:rsidRPr="00C521C7">
              <w:rPr>
                <w:rFonts w:ascii="宋体" w:hAnsi="宋体" w:hint="eastAsia"/>
                <w:bCs/>
                <w:sz w:val="21"/>
                <w:szCs w:val="21"/>
              </w:rPr>
              <w:t>共</w: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begin"/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instrText>NUMPAGES</w:instrTex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separate"/>
            </w:r>
            <w:r w:rsidR="00BC013A">
              <w:rPr>
                <w:rFonts w:ascii="宋体" w:hAnsi="宋体"/>
                <w:bCs/>
                <w:noProof/>
                <w:sz w:val="21"/>
                <w:szCs w:val="21"/>
              </w:rPr>
              <w:t>8</w:t>
            </w:r>
            <w:r w:rsidRPr="00C521C7">
              <w:rPr>
                <w:rFonts w:ascii="宋体" w:hAnsi="宋体"/>
                <w:bCs/>
                <w:sz w:val="21"/>
                <w:szCs w:val="21"/>
              </w:rPr>
              <w:fldChar w:fldCharType="end"/>
            </w:r>
            <w:r w:rsidRPr="00C521C7">
              <w:rPr>
                <w:rFonts w:ascii="宋体" w:hAnsi="宋体" w:hint="eastAsia"/>
                <w:bCs/>
                <w:sz w:val="21"/>
                <w:szCs w:val="21"/>
              </w:rPr>
              <w:t>页</w:t>
            </w:r>
          </w:p>
        </w:sdtContent>
      </w:sdt>
    </w:sdtContent>
  </w:sdt>
  <w:p w14:paraId="46B20F4C" w14:textId="77777777" w:rsidR="00C521C7" w:rsidRDefault="00C521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F5692" w14:textId="77777777" w:rsidR="00316C28" w:rsidRDefault="00316C28" w:rsidP="00C521C7">
      <w:r>
        <w:separator/>
      </w:r>
    </w:p>
  </w:footnote>
  <w:footnote w:type="continuationSeparator" w:id="0">
    <w:p w14:paraId="41C96848" w14:textId="77777777" w:rsidR="00316C28" w:rsidRDefault="00316C28" w:rsidP="00C5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7D2F1"/>
    <w:multiLevelType w:val="singleLevel"/>
    <w:tmpl w:val="7F87D2F1"/>
    <w:lvl w:ilvl="0">
      <w:start w:val="1"/>
      <w:numFmt w:val="decimal"/>
      <w:pStyle w:val="a"/>
      <w:suff w:val="nothing"/>
      <w:lvlText w:val="%1．"/>
      <w:lvlJc w:val="left"/>
      <w:pPr>
        <w:ind w:left="0" w:firstLine="400"/>
      </w:pPr>
      <w:rPr>
        <w:rFonts w:ascii="仿宋_GB2312" w:eastAsia="仿宋_GB2312" w:hAnsi="仿宋_GB2312" w:cs="仿宋_GB231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mQ1YzZmM2VjZTM4YzQxMmQ0NmM3MmY5MTUxOTYifQ=="/>
  </w:docVars>
  <w:rsids>
    <w:rsidRoot w:val="00B74533"/>
    <w:rsid w:val="00316C28"/>
    <w:rsid w:val="004E3719"/>
    <w:rsid w:val="00B74533"/>
    <w:rsid w:val="00BC013A"/>
    <w:rsid w:val="00C521C7"/>
    <w:rsid w:val="03A75853"/>
    <w:rsid w:val="06540450"/>
    <w:rsid w:val="06C12671"/>
    <w:rsid w:val="094B0D05"/>
    <w:rsid w:val="0BEA1473"/>
    <w:rsid w:val="0D2C4337"/>
    <w:rsid w:val="0D755681"/>
    <w:rsid w:val="0F6E77A2"/>
    <w:rsid w:val="12A93488"/>
    <w:rsid w:val="1A2A2590"/>
    <w:rsid w:val="1B1B56CE"/>
    <w:rsid w:val="1BBA4AB2"/>
    <w:rsid w:val="1DA54B07"/>
    <w:rsid w:val="1DAD4C1F"/>
    <w:rsid w:val="1E5E57C0"/>
    <w:rsid w:val="1EB60CE5"/>
    <w:rsid w:val="27335D35"/>
    <w:rsid w:val="31FF7806"/>
    <w:rsid w:val="38637D01"/>
    <w:rsid w:val="3DBE7DE9"/>
    <w:rsid w:val="415777EA"/>
    <w:rsid w:val="4CA7065B"/>
    <w:rsid w:val="5257047F"/>
    <w:rsid w:val="55C951EF"/>
    <w:rsid w:val="55CF2541"/>
    <w:rsid w:val="59676F9F"/>
    <w:rsid w:val="5A607A35"/>
    <w:rsid w:val="5C2D3FFE"/>
    <w:rsid w:val="672C7CD4"/>
    <w:rsid w:val="6D0668D1"/>
    <w:rsid w:val="72D60AF4"/>
    <w:rsid w:val="755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5508E4"/>
  <w15:docId w15:val="{97C38848-4595-4FAE-86E1-0F97E77C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4">
    <w:name w:val="heading 4"/>
    <w:basedOn w:val="a0"/>
    <w:next w:val="a0"/>
    <w:uiPriority w:val="9"/>
    <w:unhideWhenUsed/>
    <w:qFormat/>
    <w:pPr>
      <w:keepNext/>
      <w:keepLines/>
      <w:spacing w:line="560" w:lineRule="exact"/>
      <w:ind w:firstLineChars="200" w:firstLine="880"/>
      <w:outlineLvl w:val="3"/>
    </w:pPr>
    <w:rPr>
      <w:rFonts w:ascii="Times New Roman" w:eastAsia="仿宋_GB2312" w:hAnsi="Times New Roman" w:cstheme="majorBidi"/>
      <w:bCs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uiPriority w:val="1"/>
    <w:qFormat/>
    <w:pPr>
      <w:spacing w:after="120"/>
    </w:pPr>
  </w:style>
  <w:style w:type="paragraph" w:styleId="40">
    <w:name w:val="index 4"/>
    <w:basedOn w:val="a0"/>
    <w:next w:val="a0"/>
    <w:qFormat/>
    <w:pPr>
      <w:spacing w:before="100"/>
      <w:ind w:left="960" w:hanging="240"/>
      <w:jc w:val="center"/>
    </w:pPr>
    <w:rPr>
      <w:rFonts w:ascii="仿宋_GB2312" w:eastAsia="仿宋_GB2312" w:cs="Mangal"/>
      <w:color w:val="000000"/>
      <w:kern w:val="0"/>
      <w:sz w:val="28"/>
      <w:szCs w:val="28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adjustRightInd w:val="0"/>
      <w:snapToGrid w:val="0"/>
      <w:spacing w:line="560" w:lineRule="exact"/>
    </w:pPr>
  </w:style>
  <w:style w:type="paragraph" w:customStyle="1" w:styleId="a6">
    <w:name w:val="表"/>
    <w:basedOn w:val="a4"/>
    <w:next w:val="a4"/>
    <w:qFormat/>
  </w:style>
  <w:style w:type="paragraph" w:customStyle="1" w:styleId="1">
    <w:name w:val="列出段落1"/>
    <w:basedOn w:val="a0"/>
    <w:autoRedefine/>
    <w:uiPriority w:val="99"/>
    <w:qFormat/>
    <w:pPr>
      <w:snapToGrid w:val="0"/>
      <w:spacing w:after="15" w:line="600" w:lineRule="exact"/>
      <w:ind w:firstLineChars="200" w:firstLine="420"/>
    </w:pPr>
    <w:rPr>
      <w:szCs w:val="22"/>
    </w:rPr>
  </w:style>
  <w:style w:type="paragraph" w:styleId="a7">
    <w:name w:val="header"/>
    <w:basedOn w:val="a0"/>
    <w:link w:val="a8"/>
    <w:rsid w:val="00C5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C521C7"/>
    <w:rPr>
      <w:rFonts w:ascii="Calibri" w:eastAsia="宋体" w:hAnsi="Calibri" w:cs="宋体"/>
      <w:kern w:val="2"/>
      <w:sz w:val="18"/>
      <w:szCs w:val="18"/>
    </w:rPr>
  </w:style>
  <w:style w:type="paragraph" w:styleId="a9">
    <w:name w:val="footer"/>
    <w:basedOn w:val="a0"/>
    <w:link w:val="aa"/>
    <w:uiPriority w:val="99"/>
    <w:rsid w:val="00C5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C521C7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15117</dc:creator>
  <cp:lastModifiedBy>庞瑞卿</cp:lastModifiedBy>
  <cp:revision>3</cp:revision>
  <dcterms:created xsi:type="dcterms:W3CDTF">2024-10-18T06:42:00Z</dcterms:created>
  <dcterms:modified xsi:type="dcterms:W3CDTF">2024-12-27T12:46:00Z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1EFE020E75484305B82A848F90ADB5E7_12</vt:lpwstr>
  </property>
</Properties>
</file>