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25A" w:rsidRDefault="007901CF">
      <w:pPr>
        <w:spacing w:beforeLines="50" w:before="156" w:afterLines="100" w:after="312" w:line="560" w:lineRule="exact"/>
        <w:outlineLvl w:val="0"/>
        <w:rPr>
          <w:rFonts w:ascii="黑体" w:eastAsia="黑体" w:hAnsi="黑体"/>
          <w:sz w:val="32"/>
          <w:szCs w:val="32"/>
        </w:rPr>
      </w:pPr>
      <w:bookmarkStart w:id="0" w:name="_Toc23052"/>
      <w:bookmarkStart w:id="1" w:name="_Toc11222"/>
      <w:bookmarkStart w:id="2" w:name="_Toc16444"/>
      <w:bookmarkStart w:id="3" w:name="_Toc23306"/>
      <w:bookmarkStart w:id="4" w:name="_Toc8185"/>
      <w:bookmarkStart w:id="5" w:name="_Toc23516"/>
      <w:bookmarkStart w:id="6" w:name="_Toc17854"/>
      <w:bookmarkStart w:id="7" w:name="_Toc8426"/>
      <w:bookmarkStart w:id="8" w:name="_Toc30840"/>
      <w:bookmarkStart w:id="9" w:name="_Toc19978"/>
      <w:bookmarkStart w:id="10" w:name="_Toc17395"/>
      <w:bookmarkStart w:id="11" w:name="_Toc17035"/>
      <w:bookmarkStart w:id="12" w:name="_Toc3703"/>
      <w:bookmarkStart w:id="13" w:name="_Toc13135"/>
      <w:r>
        <w:rPr>
          <w:rFonts w:ascii="黑体" w:eastAsia="黑体" w:hAnsi="黑体" w:hint="eastAsia"/>
          <w:sz w:val="32"/>
          <w:szCs w:val="32"/>
        </w:rPr>
        <w:t>附录2：</w:t>
      </w:r>
    </w:p>
    <w:p w:rsidR="000C025A" w:rsidRDefault="007901CF">
      <w:pPr>
        <w:spacing w:beforeLines="50" w:before="156" w:afterLines="100" w:after="312" w:line="560" w:lineRule="exact"/>
        <w:jc w:val="center"/>
        <w:outlineLvl w:val="1"/>
        <w:rPr>
          <w:rFonts w:ascii="黑体" w:eastAsia="黑体" w:hAnsi="黑体"/>
          <w:sz w:val="36"/>
          <w:szCs w:val="36"/>
        </w:rPr>
      </w:pPr>
      <w:bookmarkStart w:id="14" w:name="_Toc29138"/>
      <w:bookmarkStart w:id="15" w:name="_Toc5500"/>
      <w:bookmarkStart w:id="16" w:name="_Toc14772"/>
      <w:bookmarkStart w:id="17" w:name="_Toc1033"/>
      <w:bookmarkStart w:id="18" w:name="_Toc13823"/>
      <w:bookmarkStart w:id="19" w:name="_Toc3499"/>
      <w:bookmarkStart w:id="20" w:name="_Toc10312"/>
      <w:bookmarkStart w:id="21" w:name="_Toc28104"/>
      <w:bookmarkStart w:id="22" w:name="_Toc7662"/>
      <w:bookmarkStart w:id="23" w:name="_Toc27178"/>
      <w:bookmarkStart w:id="24" w:name="_Toc12573"/>
      <w:bookmarkStart w:id="25" w:name="_Toc20455"/>
      <w:bookmarkStart w:id="26" w:name="_Toc19911"/>
      <w:bookmarkStart w:id="27" w:name="_Toc31603"/>
      <w:r>
        <w:rPr>
          <w:rFonts w:ascii="方正小标宋简体" w:eastAsia="方正小标宋简体" w:hAnsi="方正小标宋简体" w:cs="方正小标宋简体" w:hint="eastAsia"/>
          <w:sz w:val="44"/>
          <w:szCs w:val="44"/>
        </w:rPr>
        <w:t>治疗子系统检查要点</w:t>
      </w:r>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0C025A" w:rsidRDefault="007901CF">
      <w:pPr>
        <w:adjustRightInd w:val="0"/>
        <w:snapToGrid w:val="0"/>
        <w:spacing w:line="360" w:lineRule="auto"/>
        <w:jc w:val="center"/>
        <w:outlineLvl w:val="0"/>
        <w:rPr>
          <w:rFonts w:ascii="黑体" w:eastAsia="黑体" w:hAnsi="黑体"/>
          <w:sz w:val="36"/>
          <w:szCs w:val="36"/>
        </w:rPr>
      </w:pPr>
      <w:r>
        <w:rPr>
          <w:rFonts w:ascii="黑体" w:eastAsia="黑体" w:hAnsi="黑体" w:hint="eastAsia"/>
          <w:sz w:val="36"/>
          <w:szCs w:val="36"/>
        </w:rPr>
        <w:t>第三章 双散射束流配送系统</w:t>
      </w:r>
    </w:p>
    <w:p w:rsidR="000C025A" w:rsidRPr="00656BCD" w:rsidRDefault="00656BCD" w:rsidP="00656BCD">
      <w:pPr>
        <w:numPr>
          <w:ilvl w:val="255"/>
          <w:numId w:val="0"/>
        </w:numPr>
        <w:spacing w:line="360" w:lineRule="auto"/>
        <w:jc w:val="center"/>
        <w:rPr>
          <w:rFonts w:ascii="仿宋_GB2312" w:eastAsia="仿宋_GB2312" w:hAnsi="Arial" w:cs="Arial"/>
          <w:color w:val="000000"/>
          <w:sz w:val="36"/>
          <w:szCs w:val="36"/>
        </w:rPr>
      </w:pPr>
      <w:r w:rsidRPr="00656BCD">
        <w:rPr>
          <w:rFonts w:ascii="仿宋_GB2312" w:eastAsia="仿宋_GB2312" w:hAnsi="Arial" w:cs="Arial" w:hint="eastAsia"/>
          <w:color w:val="000000"/>
          <w:sz w:val="36"/>
          <w:szCs w:val="36"/>
        </w:rPr>
        <w:t>（征求</w:t>
      </w:r>
      <w:r w:rsidRPr="00656BCD">
        <w:rPr>
          <w:rFonts w:ascii="仿宋_GB2312" w:eastAsia="仿宋_GB2312" w:hAnsi="Arial" w:cs="Arial"/>
          <w:color w:val="000000"/>
          <w:sz w:val="36"/>
          <w:szCs w:val="36"/>
        </w:rPr>
        <w:t>意见稿</w:t>
      </w:r>
      <w:r w:rsidRPr="00656BCD">
        <w:rPr>
          <w:rFonts w:ascii="仿宋_GB2312" w:eastAsia="仿宋_GB2312" w:hAnsi="Arial" w:cs="Arial" w:hint="eastAsia"/>
          <w:color w:val="000000"/>
          <w:sz w:val="36"/>
          <w:szCs w:val="36"/>
        </w:rPr>
        <w:t>）</w:t>
      </w:r>
    </w:p>
    <w:p w:rsidR="000C025A" w:rsidRDefault="007901CF">
      <w:pPr>
        <w:numPr>
          <w:ilvl w:val="0"/>
          <w:numId w:val="3"/>
        </w:numPr>
        <w:spacing w:line="360" w:lineRule="auto"/>
        <w:ind w:left="442" w:hanging="442"/>
        <w:outlineLvl w:val="1"/>
        <w:rPr>
          <w:rFonts w:ascii="黑体" w:eastAsia="黑体" w:hAnsi="黑体" w:cs="黑体"/>
          <w:sz w:val="32"/>
          <w:szCs w:val="32"/>
        </w:rPr>
      </w:pPr>
      <w:r>
        <w:rPr>
          <w:rFonts w:ascii="黑体" w:eastAsia="黑体" w:hAnsi="黑体" w:cs="黑体" w:hint="eastAsia"/>
          <w:sz w:val="32"/>
          <w:szCs w:val="32"/>
        </w:rPr>
        <w:t>产品介绍</w:t>
      </w:r>
    </w:p>
    <w:p w:rsidR="000C025A" w:rsidRDefault="007901CF" w:rsidP="0066244F">
      <w:pPr>
        <w:spacing w:line="360" w:lineRule="auto"/>
        <w:ind w:firstLineChars="150" w:firstLine="480"/>
        <w:outlineLvl w:val="2"/>
        <w:rPr>
          <w:rFonts w:ascii="楷体" w:eastAsia="楷体" w:hAnsi="楷体" w:cs="楷体"/>
          <w:sz w:val="32"/>
          <w:szCs w:val="32"/>
        </w:rPr>
      </w:pPr>
      <w:r>
        <w:rPr>
          <w:rFonts w:ascii="楷体" w:eastAsia="楷体" w:hAnsi="楷体" w:cs="楷体" w:hint="eastAsia"/>
          <w:sz w:val="32"/>
          <w:szCs w:val="32"/>
        </w:rPr>
        <w:t>（一）预期用途</w:t>
      </w:r>
    </w:p>
    <w:p w:rsidR="000C025A" w:rsidRDefault="007901CF">
      <w:pPr>
        <w:spacing w:line="360" w:lineRule="auto"/>
        <w:ind w:firstLineChars="200" w:firstLine="636"/>
        <w:rPr>
          <w:rFonts w:ascii="仿宋" w:eastAsia="仿宋" w:hAnsi="仿宋" w:cs="Times New Roman"/>
          <w:sz w:val="28"/>
          <w:szCs w:val="28"/>
        </w:rPr>
      </w:pPr>
      <w:r>
        <w:rPr>
          <w:rFonts w:ascii="仿宋" w:eastAsia="仿宋" w:hAnsi="仿宋" w:cs="Arial" w:hint="eastAsia"/>
          <w:color w:val="000000"/>
          <w:spacing w:val="-1"/>
          <w:sz w:val="32"/>
          <w:szCs w:val="28"/>
        </w:rPr>
        <w:t>双散射束流配送系统通过散射片及调制轮将质子束流横向和纵向展宽，确保肿瘤区域的剂量分布均匀，此外，利用准直器及补偿器等进一步实现精确的适形治疗。</w:t>
      </w:r>
    </w:p>
    <w:p w:rsidR="000C025A" w:rsidRDefault="007901CF" w:rsidP="0066244F">
      <w:pPr>
        <w:spacing w:line="360" w:lineRule="auto"/>
        <w:ind w:firstLineChars="150" w:firstLine="480"/>
        <w:outlineLvl w:val="2"/>
        <w:rPr>
          <w:rFonts w:ascii="楷体" w:eastAsia="楷体" w:hAnsi="楷体" w:cs="楷体"/>
          <w:sz w:val="32"/>
          <w:szCs w:val="32"/>
        </w:rPr>
      </w:pPr>
      <w:r>
        <w:rPr>
          <w:rFonts w:ascii="楷体" w:eastAsia="楷体" w:hAnsi="楷体" w:cs="楷体" w:hint="eastAsia"/>
          <w:sz w:val="32"/>
          <w:szCs w:val="32"/>
        </w:rPr>
        <w:t>（二）工作原理</w:t>
      </w:r>
    </w:p>
    <w:p w:rsidR="000C025A" w:rsidRDefault="007901CF">
      <w:pPr>
        <w:spacing w:line="360" w:lineRule="auto"/>
        <w:ind w:firstLineChars="200" w:firstLine="636"/>
        <w:rPr>
          <w:rFonts w:ascii="仿宋" w:eastAsia="仿宋" w:hAnsi="仿宋" w:cs="Times New Roman"/>
          <w:sz w:val="28"/>
          <w:szCs w:val="28"/>
        </w:rPr>
      </w:pPr>
      <w:r>
        <w:rPr>
          <w:rFonts w:ascii="仿宋" w:eastAsia="仿宋" w:hAnsi="仿宋" w:cs="Arial" w:hint="eastAsia"/>
          <w:color w:val="000000"/>
          <w:spacing w:val="-1"/>
          <w:sz w:val="32"/>
          <w:szCs w:val="28"/>
        </w:rPr>
        <w:t>从加速器引出的笔形</w:t>
      </w:r>
      <w:proofErr w:type="gramStart"/>
      <w:r>
        <w:rPr>
          <w:rFonts w:ascii="仿宋" w:eastAsia="仿宋" w:hAnsi="仿宋" w:cs="Arial" w:hint="eastAsia"/>
          <w:color w:val="000000"/>
          <w:spacing w:val="-1"/>
          <w:sz w:val="32"/>
          <w:szCs w:val="28"/>
        </w:rPr>
        <w:t>束首先</w:t>
      </w:r>
      <w:proofErr w:type="gramEnd"/>
      <w:r>
        <w:rPr>
          <w:rFonts w:ascii="仿宋" w:eastAsia="仿宋" w:hAnsi="仿宋" w:cs="Arial" w:hint="eastAsia"/>
          <w:color w:val="000000"/>
          <w:spacing w:val="-1"/>
          <w:sz w:val="32"/>
          <w:szCs w:val="28"/>
        </w:rPr>
        <w:t>通过射程调节器，实现对笔形束射程进行调节，同时射程调节器也作为第一散射片对笔形</w:t>
      </w:r>
      <w:proofErr w:type="gramStart"/>
      <w:r>
        <w:rPr>
          <w:rFonts w:ascii="仿宋" w:eastAsia="仿宋" w:hAnsi="仿宋" w:cs="Arial" w:hint="eastAsia"/>
          <w:color w:val="000000"/>
          <w:spacing w:val="-1"/>
          <w:sz w:val="32"/>
          <w:szCs w:val="28"/>
        </w:rPr>
        <w:t>束进行</w:t>
      </w:r>
      <w:proofErr w:type="gramEnd"/>
      <w:r>
        <w:rPr>
          <w:rFonts w:ascii="仿宋" w:eastAsia="仿宋" w:hAnsi="仿宋" w:cs="Arial" w:hint="eastAsia"/>
          <w:color w:val="000000"/>
          <w:spacing w:val="-1"/>
          <w:sz w:val="32"/>
          <w:szCs w:val="28"/>
        </w:rPr>
        <w:t>初步横向展宽，经过第二散射片后，在等中心平面形成横向均匀照射野。结合特定型号的射程调制轮，可实现Bragg峰纵向展宽。为适应不同肿瘤病灶形状，以及对病灶区域外正常组织或器官的保护，通常还需定制准直器和补偿器，以达到适</w:t>
      </w:r>
      <w:proofErr w:type="gramStart"/>
      <w:r>
        <w:rPr>
          <w:rFonts w:ascii="仿宋" w:eastAsia="仿宋" w:hAnsi="仿宋" w:cs="Arial" w:hint="eastAsia"/>
          <w:color w:val="000000"/>
          <w:spacing w:val="-1"/>
          <w:sz w:val="32"/>
          <w:szCs w:val="28"/>
        </w:rPr>
        <w:t>形治疗</w:t>
      </w:r>
      <w:proofErr w:type="gramEnd"/>
      <w:r>
        <w:rPr>
          <w:rFonts w:ascii="仿宋" w:eastAsia="仿宋" w:hAnsi="仿宋" w:cs="Arial" w:hint="eastAsia"/>
          <w:color w:val="000000"/>
          <w:spacing w:val="-1"/>
          <w:sz w:val="32"/>
          <w:szCs w:val="28"/>
        </w:rPr>
        <w:t>的效果。这种用于粒子放射治疗的结构被称之为双散射束流配送系统。</w:t>
      </w:r>
    </w:p>
    <w:p w:rsidR="000C025A" w:rsidRDefault="007901CF">
      <w:pPr>
        <w:spacing w:line="360" w:lineRule="auto"/>
        <w:rPr>
          <w:rFonts w:ascii="Times New Roman" w:eastAsia="仿宋_GB2312" w:hAnsi="Times New Roman" w:cs="Times New Roman"/>
          <w:sz w:val="28"/>
          <w:szCs w:val="28"/>
        </w:rPr>
      </w:pPr>
      <w:r>
        <w:rPr>
          <w:rFonts w:ascii="Times New Roman" w:eastAsia="仿宋_GB2312" w:hAnsi="Times New Roman" w:cs="Times New Roman"/>
          <w:noProof/>
          <w:sz w:val="28"/>
          <w:szCs w:val="28"/>
        </w:rPr>
        <w:lastRenderedPageBreak/>
        <w:drawing>
          <wp:inline distT="0" distB="0" distL="0" distR="0">
            <wp:extent cx="5207635" cy="2037715"/>
            <wp:effectExtent l="0" t="0" r="2540" b="635"/>
            <wp:docPr id="120727750"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27750" name="图片 1" descr="图示&#10;&#10;描述已自动生成"/>
                    <pic:cNvPicPr>
                      <a:picLocks noChangeAspect="1"/>
                    </pic:cNvPicPr>
                  </pic:nvPicPr>
                  <pic:blipFill>
                    <a:blip r:embed="rId7"/>
                    <a:stretch>
                      <a:fillRect/>
                    </a:stretch>
                  </pic:blipFill>
                  <pic:spPr>
                    <a:xfrm>
                      <a:off x="0" y="0"/>
                      <a:ext cx="5207635" cy="2037715"/>
                    </a:xfrm>
                    <a:prstGeom prst="rect">
                      <a:avLst/>
                    </a:prstGeom>
                  </pic:spPr>
                </pic:pic>
              </a:graphicData>
            </a:graphic>
          </wp:inline>
        </w:drawing>
      </w:r>
    </w:p>
    <w:p w:rsidR="000C025A" w:rsidRDefault="007901CF">
      <w:pPr>
        <w:spacing w:line="360" w:lineRule="auto"/>
        <w:ind w:firstLineChars="200" w:firstLine="60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图1 双散射束流配送系统示意图</w:t>
      </w:r>
    </w:p>
    <w:p w:rsidR="000C025A" w:rsidRDefault="007901CF">
      <w:pPr>
        <w:spacing w:line="360" w:lineRule="auto"/>
        <w:ind w:firstLineChars="200" w:firstLine="640"/>
        <w:outlineLvl w:val="2"/>
        <w:rPr>
          <w:rFonts w:ascii="楷体" w:eastAsia="楷体" w:hAnsi="楷体" w:cs="楷体"/>
          <w:sz w:val="32"/>
          <w:szCs w:val="32"/>
        </w:rPr>
      </w:pPr>
      <w:r>
        <w:rPr>
          <w:rFonts w:ascii="楷体" w:eastAsia="楷体" w:hAnsi="楷体" w:cs="楷体" w:hint="eastAsia"/>
          <w:sz w:val="32"/>
          <w:szCs w:val="32"/>
        </w:rPr>
        <w:t>（三）结构组成</w:t>
      </w:r>
    </w:p>
    <w:p w:rsidR="000C025A" w:rsidRDefault="007901CF">
      <w:pPr>
        <w:spacing w:line="360" w:lineRule="auto"/>
        <w:ind w:firstLineChars="200" w:firstLine="636"/>
        <w:rPr>
          <w:rFonts w:ascii="仿宋" w:eastAsia="仿宋" w:hAnsi="仿宋" w:cs="Arial"/>
          <w:color w:val="000000"/>
          <w:spacing w:val="-1"/>
          <w:sz w:val="32"/>
          <w:szCs w:val="28"/>
        </w:rPr>
      </w:pPr>
      <w:r>
        <w:rPr>
          <w:rFonts w:ascii="仿宋" w:eastAsia="仿宋" w:hAnsi="仿宋" w:cs="Arial" w:hint="eastAsia"/>
          <w:color w:val="000000"/>
          <w:spacing w:val="-1"/>
          <w:sz w:val="32"/>
          <w:szCs w:val="28"/>
        </w:rPr>
        <w:t>双散射束流配送系统主要由射程调节器、第二散射片、射程调制轮、剂量监测电离室、准直器和补偿器等装置组成。</w:t>
      </w:r>
    </w:p>
    <w:p w:rsidR="000C025A" w:rsidRDefault="007901CF">
      <w:pPr>
        <w:spacing w:line="360" w:lineRule="auto"/>
        <w:ind w:firstLineChars="200" w:firstLine="636"/>
        <w:rPr>
          <w:rFonts w:ascii="仿宋" w:eastAsia="仿宋" w:hAnsi="仿宋" w:cs="Arial"/>
          <w:color w:val="000000"/>
          <w:spacing w:val="-1"/>
          <w:sz w:val="32"/>
          <w:szCs w:val="28"/>
        </w:rPr>
      </w:pPr>
      <w:r>
        <w:rPr>
          <w:rFonts w:ascii="仿宋" w:eastAsia="仿宋" w:hAnsi="仿宋" w:cs="Arial" w:hint="eastAsia"/>
          <w:color w:val="000000"/>
          <w:spacing w:val="-1"/>
          <w:sz w:val="32"/>
          <w:szCs w:val="28"/>
        </w:rPr>
        <w:t>射程调节器（第一散射片）</w:t>
      </w:r>
    </w:p>
    <w:p w:rsidR="000C025A" w:rsidRDefault="007901CF">
      <w:pPr>
        <w:spacing w:line="360" w:lineRule="auto"/>
        <w:ind w:firstLineChars="200" w:firstLine="636"/>
        <w:rPr>
          <w:rFonts w:ascii="仿宋" w:eastAsia="仿宋" w:hAnsi="仿宋" w:cs="Arial"/>
          <w:color w:val="000000"/>
          <w:spacing w:val="-1"/>
          <w:sz w:val="32"/>
          <w:szCs w:val="28"/>
        </w:rPr>
      </w:pPr>
      <w:r>
        <w:rPr>
          <w:rFonts w:ascii="仿宋" w:eastAsia="仿宋" w:hAnsi="仿宋" w:cs="Arial" w:hint="eastAsia"/>
          <w:color w:val="000000"/>
          <w:spacing w:val="-1"/>
          <w:sz w:val="32"/>
          <w:szCs w:val="28"/>
        </w:rPr>
        <w:t>射程调节器为不同角度对应不同厚度的轮状调节器，是一种高分子化合物，通过射程调节器可以实现笔形束的射程精确调节，以及横向初步展宽。</w:t>
      </w:r>
    </w:p>
    <w:p w:rsidR="000C025A" w:rsidRDefault="007901CF">
      <w:pPr>
        <w:spacing w:line="360" w:lineRule="auto"/>
        <w:ind w:firstLineChars="200" w:firstLine="636"/>
        <w:rPr>
          <w:rFonts w:ascii="仿宋" w:eastAsia="仿宋" w:hAnsi="仿宋" w:cs="Arial"/>
          <w:color w:val="000000"/>
          <w:spacing w:val="-1"/>
          <w:sz w:val="32"/>
          <w:szCs w:val="28"/>
        </w:rPr>
      </w:pPr>
      <w:r>
        <w:rPr>
          <w:rFonts w:ascii="仿宋" w:eastAsia="仿宋" w:hAnsi="仿宋" w:cs="Arial" w:hint="eastAsia"/>
          <w:color w:val="000000"/>
          <w:spacing w:val="-1"/>
          <w:sz w:val="32"/>
          <w:szCs w:val="28"/>
        </w:rPr>
        <w:t>第二散射片</w:t>
      </w:r>
    </w:p>
    <w:p w:rsidR="000C025A" w:rsidRDefault="007901CF">
      <w:pPr>
        <w:spacing w:line="360" w:lineRule="auto"/>
        <w:ind w:firstLineChars="200" w:firstLine="636"/>
        <w:rPr>
          <w:rFonts w:ascii="仿宋" w:eastAsia="仿宋" w:hAnsi="仿宋" w:cs="Arial"/>
          <w:color w:val="000000"/>
          <w:spacing w:val="-1"/>
          <w:sz w:val="32"/>
          <w:szCs w:val="28"/>
        </w:rPr>
      </w:pPr>
      <w:r>
        <w:rPr>
          <w:rFonts w:ascii="仿宋" w:eastAsia="仿宋" w:hAnsi="仿宋" w:cs="Arial" w:hint="eastAsia"/>
          <w:color w:val="000000"/>
          <w:spacing w:val="-1"/>
          <w:sz w:val="32"/>
          <w:szCs w:val="28"/>
        </w:rPr>
        <w:t>第二散射片为多环散射片，最内环为高Z材料，使得通过第一散射片的束流经过多环散射片之后再次散射，横向展宽并发生重叠，从而可以实现在较大照射面上形成均匀的剂量分布。</w:t>
      </w:r>
    </w:p>
    <w:p w:rsidR="000C025A" w:rsidRDefault="007901CF">
      <w:pPr>
        <w:spacing w:line="360" w:lineRule="auto"/>
        <w:ind w:firstLineChars="200" w:firstLine="636"/>
        <w:rPr>
          <w:rFonts w:ascii="仿宋" w:eastAsia="仿宋" w:hAnsi="仿宋" w:cs="Arial"/>
          <w:color w:val="000000"/>
          <w:spacing w:val="-1"/>
          <w:sz w:val="32"/>
          <w:szCs w:val="28"/>
        </w:rPr>
      </w:pPr>
      <w:r>
        <w:rPr>
          <w:rFonts w:ascii="仿宋" w:eastAsia="仿宋" w:hAnsi="仿宋" w:cs="Arial" w:hint="eastAsia"/>
          <w:color w:val="000000"/>
          <w:spacing w:val="-1"/>
          <w:sz w:val="32"/>
          <w:szCs w:val="28"/>
        </w:rPr>
        <w:t>射程调制轮</w:t>
      </w:r>
    </w:p>
    <w:p w:rsidR="000C025A" w:rsidRDefault="007901CF">
      <w:pPr>
        <w:spacing w:line="360" w:lineRule="auto"/>
        <w:ind w:firstLineChars="200" w:firstLine="636"/>
        <w:rPr>
          <w:rFonts w:ascii="仿宋" w:eastAsia="仿宋" w:hAnsi="仿宋" w:cs="Arial"/>
          <w:color w:val="000000"/>
          <w:spacing w:val="-1"/>
          <w:sz w:val="32"/>
          <w:szCs w:val="28"/>
        </w:rPr>
      </w:pPr>
      <w:r>
        <w:rPr>
          <w:rFonts w:ascii="仿宋" w:eastAsia="仿宋" w:hAnsi="仿宋" w:cs="Arial" w:hint="eastAsia"/>
          <w:color w:val="000000"/>
          <w:spacing w:val="-1"/>
          <w:sz w:val="32"/>
          <w:szCs w:val="28"/>
        </w:rPr>
        <w:t>射程调制轮</w:t>
      </w:r>
      <w:proofErr w:type="gramStart"/>
      <w:r>
        <w:rPr>
          <w:rFonts w:ascii="仿宋" w:eastAsia="仿宋" w:hAnsi="仿宋" w:cs="Arial" w:hint="eastAsia"/>
          <w:color w:val="000000"/>
          <w:spacing w:val="-1"/>
          <w:sz w:val="32"/>
          <w:szCs w:val="28"/>
        </w:rPr>
        <w:t>为脊型轮状</w:t>
      </w:r>
      <w:proofErr w:type="gramEnd"/>
      <w:r>
        <w:rPr>
          <w:rFonts w:ascii="仿宋" w:eastAsia="仿宋" w:hAnsi="仿宋" w:cs="Arial" w:hint="eastAsia"/>
          <w:color w:val="000000"/>
          <w:spacing w:val="-1"/>
          <w:sz w:val="32"/>
          <w:szCs w:val="28"/>
        </w:rPr>
        <w:t>结构，通过其飞速旋转，实现束流纵向SOBP展宽，不同型号的射程调制轮与射程调节器配合</w:t>
      </w:r>
      <w:r>
        <w:rPr>
          <w:rFonts w:ascii="仿宋" w:eastAsia="仿宋" w:hAnsi="仿宋" w:cs="Arial" w:hint="eastAsia"/>
          <w:color w:val="000000"/>
          <w:spacing w:val="-1"/>
          <w:sz w:val="32"/>
          <w:szCs w:val="28"/>
        </w:rPr>
        <w:lastRenderedPageBreak/>
        <w:t>使用，可以满足不同深度肿瘤治疗。</w:t>
      </w:r>
    </w:p>
    <w:p w:rsidR="000C025A" w:rsidRDefault="007901CF">
      <w:pPr>
        <w:spacing w:line="360" w:lineRule="auto"/>
        <w:ind w:firstLineChars="200" w:firstLine="636"/>
        <w:rPr>
          <w:rFonts w:ascii="仿宋" w:eastAsia="仿宋" w:hAnsi="仿宋" w:cs="Arial"/>
          <w:color w:val="000000"/>
          <w:spacing w:val="-1"/>
          <w:sz w:val="32"/>
          <w:szCs w:val="28"/>
        </w:rPr>
      </w:pPr>
      <w:r>
        <w:rPr>
          <w:rFonts w:ascii="仿宋" w:eastAsia="仿宋" w:hAnsi="仿宋" w:cs="Arial" w:hint="eastAsia"/>
          <w:color w:val="000000"/>
          <w:spacing w:val="-1"/>
          <w:sz w:val="32"/>
          <w:szCs w:val="28"/>
        </w:rPr>
        <w:t>剂量监测电离室</w:t>
      </w:r>
    </w:p>
    <w:p w:rsidR="000C025A" w:rsidRDefault="007901CF">
      <w:pPr>
        <w:spacing w:line="360" w:lineRule="auto"/>
        <w:ind w:firstLineChars="200" w:firstLine="636"/>
        <w:rPr>
          <w:rFonts w:ascii="仿宋" w:eastAsia="仿宋" w:hAnsi="仿宋" w:cs="Arial"/>
          <w:color w:val="000000"/>
          <w:spacing w:val="-1"/>
          <w:sz w:val="32"/>
          <w:szCs w:val="28"/>
        </w:rPr>
      </w:pPr>
      <w:r>
        <w:rPr>
          <w:rFonts w:ascii="仿宋" w:eastAsia="仿宋" w:hAnsi="仿宋" w:cs="Arial" w:hint="eastAsia"/>
          <w:color w:val="000000"/>
          <w:spacing w:val="-1"/>
          <w:sz w:val="32"/>
          <w:szCs w:val="28"/>
        </w:rPr>
        <w:t>剂量监测电离室由两个平板电离室组成，用于测量束流强度，起到了实时监测照射剂量的作用，同时根据其输出信号，还用于评估束流平坦度和对称性。</w:t>
      </w:r>
    </w:p>
    <w:p w:rsidR="000C025A" w:rsidRDefault="007901CF">
      <w:pPr>
        <w:spacing w:line="360" w:lineRule="auto"/>
        <w:ind w:firstLineChars="200" w:firstLine="636"/>
        <w:rPr>
          <w:rFonts w:ascii="仿宋" w:eastAsia="仿宋" w:hAnsi="仿宋" w:cs="Arial"/>
          <w:color w:val="000000"/>
          <w:spacing w:val="-1"/>
          <w:sz w:val="32"/>
          <w:szCs w:val="28"/>
        </w:rPr>
      </w:pPr>
      <w:r>
        <w:rPr>
          <w:rFonts w:ascii="仿宋" w:eastAsia="仿宋" w:hAnsi="仿宋" w:cs="Arial" w:hint="eastAsia"/>
          <w:color w:val="000000"/>
          <w:spacing w:val="-1"/>
          <w:sz w:val="32"/>
          <w:szCs w:val="28"/>
        </w:rPr>
        <w:t>准直器</w:t>
      </w:r>
    </w:p>
    <w:p w:rsidR="000C025A" w:rsidRDefault="007901CF">
      <w:pPr>
        <w:spacing w:line="360" w:lineRule="auto"/>
        <w:ind w:firstLineChars="200" w:firstLine="636"/>
        <w:rPr>
          <w:rFonts w:ascii="仿宋" w:eastAsia="仿宋" w:hAnsi="仿宋" w:cs="Arial"/>
          <w:color w:val="000000"/>
          <w:spacing w:val="-1"/>
          <w:sz w:val="32"/>
          <w:szCs w:val="28"/>
        </w:rPr>
      </w:pPr>
      <w:r>
        <w:rPr>
          <w:rFonts w:ascii="仿宋" w:eastAsia="仿宋" w:hAnsi="仿宋" w:cs="Arial" w:hint="eastAsia"/>
          <w:color w:val="000000"/>
          <w:spacing w:val="-1"/>
          <w:sz w:val="32"/>
          <w:szCs w:val="28"/>
        </w:rPr>
        <w:t>由于肿瘤通常横向呈现不规则形状，在双散射束流配送系统中采用定制化准直器的方法，将散射束流横向限定在与肿瘤病灶一致的区域内，避免束流照射到正常组织或器官造成的额外损伤。</w:t>
      </w:r>
    </w:p>
    <w:p w:rsidR="000C025A" w:rsidRDefault="007901CF">
      <w:pPr>
        <w:spacing w:line="360" w:lineRule="auto"/>
        <w:ind w:firstLineChars="200" w:firstLine="636"/>
        <w:rPr>
          <w:rFonts w:ascii="仿宋" w:eastAsia="仿宋" w:hAnsi="仿宋" w:cs="Arial"/>
          <w:color w:val="000000"/>
          <w:spacing w:val="-1"/>
          <w:sz w:val="32"/>
          <w:szCs w:val="28"/>
        </w:rPr>
      </w:pPr>
      <w:r>
        <w:rPr>
          <w:rFonts w:ascii="仿宋" w:eastAsia="仿宋" w:hAnsi="仿宋" w:cs="Arial" w:hint="eastAsia"/>
          <w:color w:val="000000"/>
          <w:spacing w:val="-1"/>
          <w:sz w:val="32"/>
          <w:szCs w:val="28"/>
        </w:rPr>
        <w:t>补偿器</w:t>
      </w:r>
    </w:p>
    <w:p w:rsidR="000C025A" w:rsidRDefault="007901CF">
      <w:pPr>
        <w:spacing w:line="360" w:lineRule="auto"/>
        <w:ind w:firstLineChars="200" w:firstLine="636"/>
        <w:rPr>
          <w:rFonts w:ascii="仿宋" w:eastAsia="仿宋" w:hAnsi="仿宋" w:cs="Arial"/>
          <w:color w:val="000000"/>
          <w:spacing w:val="-1"/>
          <w:sz w:val="32"/>
          <w:szCs w:val="28"/>
        </w:rPr>
      </w:pPr>
      <w:r>
        <w:rPr>
          <w:rFonts w:ascii="仿宋" w:eastAsia="仿宋" w:hAnsi="仿宋" w:cs="Arial" w:hint="eastAsia"/>
          <w:color w:val="000000"/>
          <w:spacing w:val="-1"/>
          <w:sz w:val="32"/>
          <w:szCs w:val="28"/>
        </w:rPr>
        <w:t>肿瘤在纵向上通常也可能呈现出不规则形状，在双散射束流配送系统中，除了通过射程调节器及调制</w:t>
      </w:r>
      <w:proofErr w:type="gramStart"/>
      <w:r>
        <w:rPr>
          <w:rFonts w:ascii="仿宋" w:eastAsia="仿宋" w:hAnsi="仿宋" w:cs="Arial" w:hint="eastAsia"/>
          <w:color w:val="000000"/>
          <w:spacing w:val="-1"/>
          <w:sz w:val="32"/>
          <w:szCs w:val="28"/>
        </w:rPr>
        <w:t>轮进行</w:t>
      </w:r>
      <w:proofErr w:type="gramEnd"/>
      <w:r>
        <w:rPr>
          <w:rFonts w:ascii="仿宋" w:eastAsia="仿宋" w:hAnsi="仿宋" w:cs="Arial" w:hint="eastAsia"/>
          <w:color w:val="000000"/>
          <w:spacing w:val="-1"/>
          <w:sz w:val="32"/>
          <w:szCs w:val="28"/>
        </w:rPr>
        <w:t>纵向SOBP展宽，通常还会采用定制化补偿器的方法，将散射束流纵向限定在与肿瘤病灶一致的区域内，避免束流照射到正常组织或器官造成的额外损伤。</w:t>
      </w:r>
    </w:p>
    <w:p w:rsidR="000C025A" w:rsidRDefault="007901CF">
      <w:pPr>
        <w:numPr>
          <w:ilvl w:val="0"/>
          <w:numId w:val="3"/>
        </w:numPr>
        <w:spacing w:line="360" w:lineRule="auto"/>
        <w:ind w:left="0" w:firstLine="0"/>
        <w:outlineLvl w:val="1"/>
        <w:rPr>
          <w:rFonts w:ascii="黑体" w:eastAsia="黑体" w:hAnsi="黑体" w:cs="黑体"/>
          <w:sz w:val="32"/>
          <w:szCs w:val="32"/>
        </w:rPr>
      </w:pPr>
      <w:r>
        <w:rPr>
          <w:rFonts w:ascii="黑体" w:eastAsia="黑体" w:hAnsi="黑体" w:cs="黑体" w:hint="eastAsia"/>
          <w:sz w:val="32"/>
          <w:szCs w:val="32"/>
        </w:rPr>
        <w:t>主要技术指标</w:t>
      </w:r>
    </w:p>
    <w:tbl>
      <w:tblPr>
        <w:tblStyle w:val="af4"/>
        <w:tblW w:w="9139" w:type="dxa"/>
        <w:jc w:val="center"/>
        <w:tblLayout w:type="fixed"/>
        <w:tblLook w:val="04A0" w:firstRow="1" w:lastRow="0" w:firstColumn="1" w:lastColumn="0" w:noHBand="0" w:noVBand="1"/>
      </w:tblPr>
      <w:tblGrid>
        <w:gridCol w:w="762"/>
        <w:gridCol w:w="1478"/>
        <w:gridCol w:w="4234"/>
        <w:gridCol w:w="2665"/>
      </w:tblGrid>
      <w:tr w:rsidR="000C025A">
        <w:trPr>
          <w:trHeight w:val="454"/>
          <w:jc w:val="center"/>
        </w:trPr>
        <w:tc>
          <w:tcPr>
            <w:tcW w:w="762" w:type="dxa"/>
            <w:vAlign w:val="center"/>
          </w:tcPr>
          <w:p w:rsidR="000C025A" w:rsidRDefault="007901CF">
            <w:pPr>
              <w:spacing w:line="360" w:lineRule="auto"/>
              <w:jc w:val="center"/>
              <w:rPr>
                <w:rFonts w:ascii="仿宋" w:eastAsia="仿宋" w:hAnsi="仿宋" w:cs="Arial"/>
                <w:b/>
                <w:bCs/>
                <w:color w:val="000000"/>
                <w:spacing w:val="-1"/>
                <w:sz w:val="24"/>
                <w:szCs w:val="22"/>
              </w:rPr>
            </w:pPr>
            <w:r>
              <w:rPr>
                <w:rFonts w:ascii="仿宋" w:eastAsia="仿宋" w:hAnsi="仿宋" w:cs="Arial" w:hint="eastAsia"/>
                <w:b/>
                <w:bCs/>
                <w:color w:val="000000"/>
                <w:spacing w:val="-1"/>
                <w:sz w:val="24"/>
                <w:szCs w:val="22"/>
              </w:rPr>
              <w:t>序号</w:t>
            </w:r>
          </w:p>
        </w:tc>
        <w:tc>
          <w:tcPr>
            <w:tcW w:w="1478" w:type="dxa"/>
            <w:vAlign w:val="center"/>
          </w:tcPr>
          <w:p w:rsidR="000C025A" w:rsidRDefault="007901CF">
            <w:pPr>
              <w:spacing w:line="360" w:lineRule="auto"/>
              <w:jc w:val="center"/>
              <w:rPr>
                <w:rFonts w:ascii="仿宋" w:eastAsia="仿宋" w:hAnsi="仿宋" w:cs="Arial"/>
                <w:b/>
                <w:bCs/>
                <w:color w:val="000000"/>
                <w:spacing w:val="-1"/>
                <w:sz w:val="24"/>
                <w:szCs w:val="22"/>
              </w:rPr>
            </w:pPr>
            <w:r>
              <w:rPr>
                <w:rFonts w:ascii="仿宋" w:eastAsia="仿宋" w:hAnsi="仿宋" w:cs="Arial" w:hint="eastAsia"/>
                <w:b/>
                <w:bCs/>
                <w:color w:val="000000"/>
                <w:spacing w:val="-1"/>
                <w:sz w:val="24"/>
                <w:szCs w:val="22"/>
              </w:rPr>
              <w:t>检验项目</w:t>
            </w:r>
          </w:p>
        </w:tc>
        <w:tc>
          <w:tcPr>
            <w:tcW w:w="4234" w:type="dxa"/>
            <w:vAlign w:val="center"/>
          </w:tcPr>
          <w:p w:rsidR="000C025A" w:rsidRDefault="007901CF">
            <w:pPr>
              <w:spacing w:line="360" w:lineRule="auto"/>
              <w:jc w:val="center"/>
              <w:rPr>
                <w:rFonts w:ascii="仿宋" w:eastAsia="仿宋" w:hAnsi="仿宋" w:cs="Arial"/>
                <w:b/>
                <w:bCs/>
                <w:color w:val="000000"/>
                <w:spacing w:val="-1"/>
                <w:sz w:val="24"/>
                <w:szCs w:val="22"/>
              </w:rPr>
            </w:pPr>
            <w:r>
              <w:rPr>
                <w:rFonts w:ascii="仿宋" w:eastAsia="仿宋" w:hAnsi="仿宋" w:cs="Arial" w:hint="eastAsia"/>
                <w:b/>
                <w:bCs/>
                <w:color w:val="000000"/>
                <w:spacing w:val="-1"/>
                <w:sz w:val="24"/>
                <w:szCs w:val="22"/>
              </w:rPr>
              <w:t>主要控制指标</w:t>
            </w:r>
          </w:p>
        </w:tc>
        <w:tc>
          <w:tcPr>
            <w:tcW w:w="2665" w:type="dxa"/>
            <w:vAlign w:val="center"/>
          </w:tcPr>
          <w:p w:rsidR="000C025A" w:rsidRDefault="007901CF">
            <w:pPr>
              <w:spacing w:line="360" w:lineRule="auto"/>
              <w:jc w:val="center"/>
              <w:rPr>
                <w:rFonts w:ascii="仿宋" w:eastAsia="仿宋" w:hAnsi="仿宋" w:cs="Arial"/>
                <w:b/>
                <w:bCs/>
                <w:color w:val="000000"/>
                <w:spacing w:val="-1"/>
                <w:sz w:val="24"/>
                <w:szCs w:val="22"/>
              </w:rPr>
            </w:pPr>
            <w:r>
              <w:rPr>
                <w:rFonts w:ascii="仿宋" w:eastAsia="仿宋" w:hAnsi="仿宋" w:cs="Arial" w:hint="eastAsia"/>
                <w:b/>
                <w:bCs/>
                <w:color w:val="000000"/>
                <w:spacing w:val="-1"/>
                <w:sz w:val="24"/>
                <w:szCs w:val="22"/>
              </w:rPr>
              <w:t>检验方法</w:t>
            </w:r>
          </w:p>
        </w:tc>
      </w:tr>
      <w:tr w:rsidR="000C025A">
        <w:trPr>
          <w:jc w:val="center"/>
        </w:trPr>
        <w:tc>
          <w:tcPr>
            <w:tcW w:w="762" w:type="dxa"/>
            <w:vAlign w:val="center"/>
          </w:tcPr>
          <w:p w:rsidR="000C025A" w:rsidRDefault="007901CF">
            <w:pPr>
              <w:spacing w:line="360" w:lineRule="auto"/>
              <w:jc w:val="center"/>
              <w:rPr>
                <w:rFonts w:ascii="仿宋" w:eastAsia="仿宋" w:hAnsi="仿宋" w:cs="Arial"/>
                <w:color w:val="000000"/>
                <w:spacing w:val="-1"/>
                <w:sz w:val="24"/>
                <w:szCs w:val="22"/>
              </w:rPr>
            </w:pPr>
            <w:r>
              <w:rPr>
                <w:rFonts w:ascii="仿宋" w:eastAsia="仿宋" w:hAnsi="仿宋" w:cs="Arial" w:hint="eastAsia"/>
                <w:color w:val="000000"/>
                <w:spacing w:val="-1"/>
                <w:sz w:val="24"/>
                <w:szCs w:val="22"/>
              </w:rPr>
              <w:t>1</w:t>
            </w:r>
          </w:p>
        </w:tc>
        <w:tc>
          <w:tcPr>
            <w:tcW w:w="1478" w:type="dxa"/>
            <w:vAlign w:val="center"/>
          </w:tcPr>
          <w:p w:rsidR="000C025A" w:rsidRDefault="007901CF">
            <w:pPr>
              <w:spacing w:line="360" w:lineRule="auto"/>
              <w:jc w:val="left"/>
              <w:rPr>
                <w:rFonts w:ascii="仿宋" w:eastAsia="仿宋" w:hAnsi="仿宋" w:cs="Arial"/>
                <w:color w:val="000000"/>
                <w:spacing w:val="-1"/>
                <w:sz w:val="24"/>
                <w:szCs w:val="22"/>
              </w:rPr>
            </w:pPr>
            <w:r>
              <w:rPr>
                <w:rFonts w:ascii="仿宋" w:eastAsia="仿宋" w:hAnsi="仿宋" w:cs="Arial" w:hint="eastAsia"/>
                <w:color w:val="000000"/>
                <w:spacing w:val="-1"/>
                <w:sz w:val="24"/>
                <w:szCs w:val="22"/>
              </w:rPr>
              <w:t>射程调节器</w:t>
            </w:r>
          </w:p>
        </w:tc>
        <w:tc>
          <w:tcPr>
            <w:tcW w:w="4234" w:type="dxa"/>
          </w:tcPr>
          <w:p w:rsidR="000C025A" w:rsidRDefault="007901CF">
            <w:pPr>
              <w:spacing w:line="360" w:lineRule="auto"/>
              <w:jc w:val="left"/>
              <w:rPr>
                <w:rFonts w:ascii="仿宋" w:eastAsia="仿宋" w:hAnsi="仿宋" w:cs="Arial"/>
                <w:color w:val="000000"/>
                <w:spacing w:val="-1"/>
                <w:sz w:val="24"/>
                <w:szCs w:val="22"/>
              </w:rPr>
            </w:pPr>
            <w:r>
              <w:rPr>
                <w:rFonts w:ascii="仿宋" w:eastAsia="仿宋" w:hAnsi="仿宋" w:cs="Arial" w:hint="eastAsia"/>
                <w:color w:val="000000"/>
                <w:spacing w:val="-1"/>
                <w:sz w:val="24"/>
                <w:szCs w:val="22"/>
              </w:rPr>
              <w:t>YY/T 1763《医用电气设备 医用轻离子束设备性能特性》标准8.2章节内容</w:t>
            </w:r>
          </w:p>
        </w:tc>
        <w:tc>
          <w:tcPr>
            <w:tcW w:w="2665" w:type="dxa"/>
            <w:vAlign w:val="center"/>
          </w:tcPr>
          <w:p w:rsidR="000C025A" w:rsidRDefault="007901CF">
            <w:pPr>
              <w:spacing w:line="360" w:lineRule="auto"/>
              <w:jc w:val="left"/>
              <w:rPr>
                <w:rFonts w:ascii="仿宋" w:eastAsia="仿宋" w:hAnsi="仿宋" w:cs="Arial"/>
                <w:color w:val="000000"/>
                <w:spacing w:val="-1"/>
                <w:sz w:val="24"/>
                <w:szCs w:val="22"/>
              </w:rPr>
            </w:pPr>
            <w:r>
              <w:rPr>
                <w:rFonts w:ascii="仿宋" w:eastAsia="仿宋" w:hAnsi="仿宋" w:cs="Arial" w:hint="eastAsia"/>
                <w:color w:val="000000"/>
                <w:spacing w:val="-1"/>
                <w:sz w:val="24"/>
                <w:szCs w:val="22"/>
              </w:rPr>
              <w:t>按照标准要求检验</w:t>
            </w:r>
          </w:p>
        </w:tc>
      </w:tr>
      <w:tr w:rsidR="000C025A">
        <w:trPr>
          <w:jc w:val="center"/>
        </w:trPr>
        <w:tc>
          <w:tcPr>
            <w:tcW w:w="762" w:type="dxa"/>
            <w:vAlign w:val="center"/>
          </w:tcPr>
          <w:p w:rsidR="000C025A" w:rsidRDefault="007901CF">
            <w:pPr>
              <w:spacing w:line="360" w:lineRule="auto"/>
              <w:jc w:val="center"/>
              <w:rPr>
                <w:rFonts w:ascii="仿宋" w:eastAsia="仿宋" w:hAnsi="仿宋" w:cs="Arial"/>
                <w:color w:val="000000"/>
                <w:spacing w:val="-1"/>
                <w:sz w:val="24"/>
                <w:szCs w:val="22"/>
              </w:rPr>
            </w:pPr>
            <w:r>
              <w:rPr>
                <w:rFonts w:ascii="仿宋" w:eastAsia="仿宋" w:hAnsi="仿宋" w:cs="Arial" w:hint="eastAsia"/>
                <w:color w:val="000000"/>
                <w:spacing w:val="-1"/>
                <w:sz w:val="24"/>
                <w:szCs w:val="22"/>
              </w:rPr>
              <w:t>2</w:t>
            </w:r>
          </w:p>
        </w:tc>
        <w:tc>
          <w:tcPr>
            <w:tcW w:w="1478" w:type="dxa"/>
            <w:vAlign w:val="center"/>
          </w:tcPr>
          <w:p w:rsidR="000C025A" w:rsidRDefault="007901CF">
            <w:pPr>
              <w:spacing w:line="360" w:lineRule="auto"/>
              <w:jc w:val="left"/>
              <w:rPr>
                <w:rFonts w:ascii="仿宋" w:eastAsia="仿宋" w:hAnsi="仿宋" w:cs="Arial"/>
                <w:color w:val="000000"/>
                <w:spacing w:val="-1"/>
                <w:sz w:val="24"/>
                <w:szCs w:val="22"/>
              </w:rPr>
            </w:pPr>
            <w:r>
              <w:rPr>
                <w:rFonts w:ascii="仿宋" w:eastAsia="仿宋" w:hAnsi="仿宋" w:cs="Arial" w:hint="eastAsia"/>
                <w:color w:val="000000"/>
                <w:spacing w:val="-1"/>
                <w:sz w:val="24"/>
                <w:szCs w:val="22"/>
              </w:rPr>
              <w:t>散射片</w:t>
            </w:r>
          </w:p>
        </w:tc>
        <w:tc>
          <w:tcPr>
            <w:tcW w:w="4234" w:type="dxa"/>
          </w:tcPr>
          <w:p w:rsidR="000C025A" w:rsidRDefault="007901CF">
            <w:pPr>
              <w:spacing w:line="360" w:lineRule="auto"/>
              <w:jc w:val="left"/>
              <w:rPr>
                <w:rFonts w:ascii="仿宋" w:eastAsia="仿宋" w:hAnsi="仿宋" w:cs="Arial"/>
                <w:color w:val="000000"/>
                <w:spacing w:val="-1"/>
                <w:sz w:val="24"/>
                <w:szCs w:val="22"/>
              </w:rPr>
            </w:pPr>
            <w:r>
              <w:rPr>
                <w:rFonts w:ascii="仿宋" w:eastAsia="仿宋" w:hAnsi="仿宋" w:cs="Arial" w:hint="eastAsia"/>
                <w:color w:val="000000"/>
                <w:spacing w:val="-1"/>
                <w:sz w:val="24"/>
                <w:szCs w:val="22"/>
              </w:rPr>
              <w:t>YY/T 1763《医用电气设备 医用轻离子束设备性能特性》标准6.9章节内</w:t>
            </w:r>
            <w:r>
              <w:rPr>
                <w:rFonts w:ascii="仿宋" w:eastAsia="仿宋" w:hAnsi="仿宋" w:cs="Arial" w:hint="eastAsia"/>
                <w:color w:val="000000"/>
                <w:spacing w:val="-1"/>
                <w:sz w:val="24"/>
                <w:szCs w:val="22"/>
              </w:rPr>
              <w:lastRenderedPageBreak/>
              <w:t>容</w:t>
            </w:r>
          </w:p>
        </w:tc>
        <w:tc>
          <w:tcPr>
            <w:tcW w:w="2665" w:type="dxa"/>
            <w:vAlign w:val="center"/>
          </w:tcPr>
          <w:p w:rsidR="000C025A" w:rsidRDefault="007901CF">
            <w:pPr>
              <w:spacing w:line="360" w:lineRule="auto"/>
              <w:jc w:val="left"/>
              <w:rPr>
                <w:rFonts w:ascii="仿宋" w:eastAsia="仿宋" w:hAnsi="仿宋" w:cs="Arial"/>
                <w:color w:val="000000"/>
                <w:spacing w:val="-1"/>
                <w:sz w:val="24"/>
                <w:szCs w:val="22"/>
              </w:rPr>
            </w:pPr>
            <w:r>
              <w:rPr>
                <w:rFonts w:ascii="仿宋" w:eastAsia="仿宋" w:hAnsi="仿宋" w:cs="Arial" w:hint="eastAsia"/>
                <w:color w:val="000000"/>
                <w:spacing w:val="-1"/>
                <w:sz w:val="24"/>
                <w:szCs w:val="22"/>
              </w:rPr>
              <w:lastRenderedPageBreak/>
              <w:t>按照标准要求检验</w:t>
            </w:r>
          </w:p>
        </w:tc>
      </w:tr>
      <w:tr w:rsidR="000C025A">
        <w:trPr>
          <w:jc w:val="center"/>
        </w:trPr>
        <w:tc>
          <w:tcPr>
            <w:tcW w:w="762" w:type="dxa"/>
            <w:vAlign w:val="center"/>
          </w:tcPr>
          <w:p w:rsidR="000C025A" w:rsidRDefault="007901CF">
            <w:pPr>
              <w:spacing w:line="360" w:lineRule="auto"/>
              <w:jc w:val="center"/>
              <w:rPr>
                <w:rFonts w:ascii="仿宋" w:eastAsia="仿宋" w:hAnsi="仿宋" w:cs="Arial"/>
                <w:color w:val="000000"/>
                <w:spacing w:val="-1"/>
                <w:sz w:val="24"/>
                <w:szCs w:val="22"/>
              </w:rPr>
            </w:pPr>
            <w:r>
              <w:rPr>
                <w:rFonts w:ascii="仿宋" w:eastAsia="仿宋" w:hAnsi="仿宋" w:cs="Arial" w:hint="eastAsia"/>
                <w:color w:val="000000"/>
                <w:spacing w:val="-1"/>
                <w:sz w:val="24"/>
                <w:szCs w:val="22"/>
              </w:rPr>
              <w:lastRenderedPageBreak/>
              <w:t>3</w:t>
            </w:r>
          </w:p>
        </w:tc>
        <w:tc>
          <w:tcPr>
            <w:tcW w:w="1478" w:type="dxa"/>
            <w:vAlign w:val="center"/>
          </w:tcPr>
          <w:p w:rsidR="000C025A" w:rsidRDefault="007901CF">
            <w:pPr>
              <w:spacing w:line="360" w:lineRule="auto"/>
              <w:jc w:val="left"/>
              <w:rPr>
                <w:rFonts w:ascii="仿宋" w:eastAsia="仿宋" w:hAnsi="仿宋" w:cs="Arial"/>
                <w:color w:val="000000"/>
                <w:spacing w:val="-1"/>
                <w:sz w:val="24"/>
                <w:szCs w:val="22"/>
              </w:rPr>
            </w:pPr>
            <w:r>
              <w:rPr>
                <w:rFonts w:ascii="仿宋" w:eastAsia="仿宋" w:hAnsi="仿宋" w:cs="Arial" w:hint="eastAsia"/>
                <w:color w:val="000000"/>
                <w:spacing w:val="-1"/>
                <w:sz w:val="24"/>
                <w:szCs w:val="22"/>
              </w:rPr>
              <w:t>剂量监测电离室</w:t>
            </w:r>
          </w:p>
        </w:tc>
        <w:tc>
          <w:tcPr>
            <w:tcW w:w="4234" w:type="dxa"/>
          </w:tcPr>
          <w:p w:rsidR="000C025A" w:rsidRDefault="007901CF">
            <w:pPr>
              <w:spacing w:line="360" w:lineRule="auto"/>
              <w:jc w:val="left"/>
              <w:rPr>
                <w:rFonts w:ascii="仿宋" w:eastAsia="仿宋" w:hAnsi="仿宋" w:cs="Arial"/>
                <w:color w:val="000000"/>
                <w:spacing w:val="-1"/>
                <w:sz w:val="24"/>
                <w:szCs w:val="22"/>
              </w:rPr>
            </w:pPr>
            <w:r>
              <w:rPr>
                <w:rFonts w:ascii="仿宋" w:eastAsia="仿宋" w:hAnsi="仿宋" w:cs="Arial" w:hint="eastAsia"/>
                <w:color w:val="000000"/>
                <w:spacing w:val="-1"/>
                <w:sz w:val="24"/>
                <w:szCs w:val="22"/>
              </w:rPr>
              <w:t>剂量监测范围内的MU输出的重复性、线性、稳定性，及轻</w:t>
            </w:r>
            <w:proofErr w:type="gramStart"/>
            <w:r>
              <w:rPr>
                <w:rFonts w:ascii="仿宋" w:eastAsia="仿宋" w:hAnsi="仿宋" w:cs="Arial" w:hint="eastAsia"/>
                <w:color w:val="000000"/>
                <w:spacing w:val="-1"/>
                <w:sz w:val="24"/>
                <w:szCs w:val="22"/>
              </w:rPr>
              <w:t>离子射野横向</w:t>
            </w:r>
            <w:proofErr w:type="gramEnd"/>
            <w:r>
              <w:rPr>
                <w:rFonts w:ascii="仿宋" w:eastAsia="仿宋" w:hAnsi="仿宋" w:cs="Arial" w:hint="eastAsia"/>
                <w:color w:val="000000"/>
                <w:spacing w:val="-1"/>
                <w:sz w:val="24"/>
                <w:szCs w:val="22"/>
              </w:rPr>
              <w:t>分布</w:t>
            </w:r>
            <w:proofErr w:type="gramStart"/>
            <w:r>
              <w:rPr>
                <w:rFonts w:ascii="仿宋" w:eastAsia="仿宋" w:hAnsi="仿宋" w:cs="Arial" w:hint="eastAsia"/>
                <w:color w:val="000000"/>
                <w:spacing w:val="-1"/>
                <w:sz w:val="24"/>
                <w:szCs w:val="22"/>
              </w:rPr>
              <w:t>均整度和</w:t>
            </w:r>
            <w:proofErr w:type="gramEnd"/>
            <w:r>
              <w:rPr>
                <w:rFonts w:ascii="仿宋" w:eastAsia="仿宋" w:hAnsi="仿宋" w:cs="Arial" w:hint="eastAsia"/>
                <w:color w:val="000000"/>
                <w:spacing w:val="-1"/>
                <w:sz w:val="24"/>
                <w:szCs w:val="22"/>
              </w:rPr>
              <w:t>对称度</w:t>
            </w:r>
          </w:p>
        </w:tc>
        <w:tc>
          <w:tcPr>
            <w:tcW w:w="2665" w:type="dxa"/>
            <w:vAlign w:val="center"/>
          </w:tcPr>
          <w:p w:rsidR="000C025A" w:rsidRDefault="007901CF">
            <w:pPr>
              <w:spacing w:line="360" w:lineRule="auto"/>
              <w:jc w:val="left"/>
              <w:rPr>
                <w:rFonts w:ascii="仿宋" w:eastAsia="仿宋" w:hAnsi="仿宋" w:cs="Arial"/>
                <w:color w:val="000000"/>
                <w:spacing w:val="-1"/>
                <w:sz w:val="24"/>
                <w:szCs w:val="22"/>
              </w:rPr>
            </w:pPr>
            <w:r>
              <w:rPr>
                <w:rFonts w:ascii="仿宋" w:eastAsia="仿宋" w:hAnsi="仿宋" w:cs="Arial" w:hint="eastAsia"/>
                <w:color w:val="000000"/>
                <w:spacing w:val="-1"/>
                <w:sz w:val="24"/>
                <w:szCs w:val="22"/>
              </w:rPr>
              <w:t>按照企业制定的规程</w:t>
            </w:r>
          </w:p>
        </w:tc>
      </w:tr>
      <w:tr w:rsidR="000C025A">
        <w:trPr>
          <w:jc w:val="center"/>
        </w:trPr>
        <w:tc>
          <w:tcPr>
            <w:tcW w:w="762" w:type="dxa"/>
            <w:vAlign w:val="center"/>
          </w:tcPr>
          <w:p w:rsidR="000C025A" w:rsidRDefault="007901CF">
            <w:pPr>
              <w:spacing w:line="360" w:lineRule="auto"/>
              <w:jc w:val="center"/>
              <w:rPr>
                <w:rFonts w:ascii="仿宋" w:eastAsia="仿宋" w:hAnsi="仿宋" w:cs="Arial"/>
                <w:color w:val="000000"/>
                <w:spacing w:val="-1"/>
                <w:sz w:val="24"/>
                <w:szCs w:val="22"/>
              </w:rPr>
            </w:pPr>
            <w:r>
              <w:rPr>
                <w:rFonts w:ascii="仿宋" w:eastAsia="仿宋" w:hAnsi="仿宋" w:cs="Arial" w:hint="eastAsia"/>
                <w:color w:val="000000"/>
                <w:spacing w:val="-1"/>
                <w:sz w:val="24"/>
                <w:szCs w:val="22"/>
              </w:rPr>
              <w:t>4</w:t>
            </w:r>
          </w:p>
        </w:tc>
        <w:tc>
          <w:tcPr>
            <w:tcW w:w="1478" w:type="dxa"/>
            <w:vAlign w:val="center"/>
          </w:tcPr>
          <w:p w:rsidR="000C025A" w:rsidRDefault="007901CF">
            <w:pPr>
              <w:spacing w:line="360" w:lineRule="auto"/>
              <w:jc w:val="left"/>
              <w:rPr>
                <w:rFonts w:ascii="仿宋" w:eastAsia="仿宋" w:hAnsi="仿宋" w:cs="Arial"/>
                <w:color w:val="000000"/>
                <w:spacing w:val="-1"/>
                <w:sz w:val="24"/>
                <w:szCs w:val="22"/>
              </w:rPr>
            </w:pPr>
            <w:r>
              <w:rPr>
                <w:rFonts w:ascii="仿宋" w:eastAsia="仿宋" w:hAnsi="仿宋" w:cs="Arial" w:hint="eastAsia"/>
                <w:color w:val="000000"/>
                <w:spacing w:val="-1"/>
                <w:sz w:val="24"/>
                <w:szCs w:val="22"/>
              </w:rPr>
              <w:t>射程调制轮</w:t>
            </w:r>
          </w:p>
        </w:tc>
        <w:tc>
          <w:tcPr>
            <w:tcW w:w="4234" w:type="dxa"/>
          </w:tcPr>
          <w:p w:rsidR="000C025A" w:rsidRDefault="007901CF">
            <w:pPr>
              <w:spacing w:line="360" w:lineRule="auto"/>
              <w:jc w:val="left"/>
              <w:rPr>
                <w:rFonts w:ascii="仿宋" w:eastAsia="仿宋" w:hAnsi="仿宋" w:cs="Arial"/>
                <w:color w:val="000000"/>
                <w:spacing w:val="-1"/>
                <w:sz w:val="24"/>
                <w:szCs w:val="22"/>
              </w:rPr>
            </w:pPr>
            <w:r>
              <w:rPr>
                <w:rFonts w:ascii="仿宋" w:eastAsia="仿宋" w:hAnsi="仿宋" w:cs="Arial" w:hint="eastAsia"/>
                <w:color w:val="000000"/>
                <w:spacing w:val="-1"/>
                <w:sz w:val="24"/>
                <w:szCs w:val="22"/>
              </w:rPr>
              <w:t>YY/T 1763《医用电气设备 医用轻离子束设备性能特性》标准8.2章节内容</w:t>
            </w:r>
          </w:p>
        </w:tc>
        <w:tc>
          <w:tcPr>
            <w:tcW w:w="2665" w:type="dxa"/>
            <w:vAlign w:val="center"/>
          </w:tcPr>
          <w:p w:rsidR="000C025A" w:rsidRDefault="007901CF">
            <w:pPr>
              <w:spacing w:line="360" w:lineRule="auto"/>
              <w:jc w:val="left"/>
              <w:rPr>
                <w:rFonts w:ascii="仿宋" w:eastAsia="仿宋" w:hAnsi="仿宋" w:cs="Arial"/>
                <w:color w:val="000000"/>
                <w:spacing w:val="-1"/>
                <w:sz w:val="24"/>
                <w:szCs w:val="22"/>
              </w:rPr>
            </w:pPr>
            <w:r>
              <w:rPr>
                <w:rFonts w:ascii="仿宋" w:eastAsia="仿宋" w:hAnsi="仿宋" w:cs="Arial" w:hint="eastAsia"/>
                <w:color w:val="000000"/>
                <w:spacing w:val="-1"/>
                <w:sz w:val="24"/>
                <w:szCs w:val="22"/>
              </w:rPr>
              <w:t>按照标准要求检验</w:t>
            </w:r>
          </w:p>
        </w:tc>
      </w:tr>
    </w:tbl>
    <w:p w:rsidR="000C025A" w:rsidRDefault="007901CF">
      <w:pPr>
        <w:numPr>
          <w:ilvl w:val="0"/>
          <w:numId w:val="3"/>
        </w:numPr>
        <w:spacing w:line="360" w:lineRule="auto"/>
        <w:ind w:left="0" w:firstLine="0"/>
        <w:outlineLvl w:val="1"/>
        <w:rPr>
          <w:rFonts w:ascii="黑体" w:eastAsia="黑体" w:hAnsi="黑体" w:cs="黑体"/>
          <w:sz w:val="32"/>
          <w:szCs w:val="32"/>
        </w:rPr>
      </w:pPr>
      <w:r>
        <w:rPr>
          <w:rFonts w:ascii="黑体" w:eastAsia="黑体" w:hAnsi="黑体" w:cs="黑体" w:hint="eastAsia"/>
          <w:sz w:val="32"/>
          <w:szCs w:val="32"/>
        </w:rPr>
        <w:t>生产信息和质量关键控制点</w:t>
      </w:r>
    </w:p>
    <w:p w:rsidR="000C025A" w:rsidRDefault="007901CF">
      <w:pPr>
        <w:numPr>
          <w:ilvl w:val="0"/>
          <w:numId w:val="4"/>
        </w:numPr>
        <w:spacing w:line="360" w:lineRule="auto"/>
        <w:ind w:left="424" w:hanging="4"/>
        <w:outlineLvl w:val="2"/>
        <w:rPr>
          <w:rFonts w:ascii="楷体" w:eastAsia="楷体" w:hAnsi="楷体" w:cs="楷体"/>
          <w:sz w:val="32"/>
          <w:szCs w:val="32"/>
        </w:rPr>
      </w:pPr>
      <w:r>
        <w:rPr>
          <w:rFonts w:ascii="楷体" w:eastAsia="楷体" w:hAnsi="楷体" w:cs="楷体" w:hint="eastAsia"/>
          <w:sz w:val="32"/>
          <w:szCs w:val="32"/>
        </w:rPr>
        <w:t>生产工艺流程图</w:t>
      </w:r>
    </w:p>
    <w:p w:rsidR="000C025A" w:rsidRDefault="007901CF">
      <w:pPr>
        <w:spacing w:line="360" w:lineRule="auto"/>
        <w:rPr>
          <w:rFonts w:ascii="楷体" w:eastAsia="楷体" w:hAnsi="楷体" w:cs="楷体"/>
          <w:sz w:val="32"/>
          <w:szCs w:val="32"/>
        </w:rPr>
      </w:pPr>
      <w:r>
        <w:rPr>
          <w:rFonts w:ascii="楷体" w:eastAsia="楷体" w:hAnsi="楷体" w:cs="楷体" w:hint="eastAsia"/>
          <w:noProof/>
          <w:sz w:val="32"/>
          <w:szCs w:val="32"/>
        </w:rPr>
        <w:drawing>
          <wp:inline distT="0" distB="0" distL="114300" distR="114300">
            <wp:extent cx="5271770" cy="4841875"/>
            <wp:effectExtent l="0" t="0" r="5080" b="6350"/>
            <wp:docPr id="1" name="图片 1" descr="1732505374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32505374201"/>
                    <pic:cNvPicPr>
                      <a:picLocks noChangeAspect="1"/>
                    </pic:cNvPicPr>
                  </pic:nvPicPr>
                  <pic:blipFill>
                    <a:blip r:embed="rId8"/>
                    <a:stretch>
                      <a:fillRect/>
                    </a:stretch>
                  </pic:blipFill>
                  <pic:spPr>
                    <a:xfrm>
                      <a:off x="0" y="0"/>
                      <a:ext cx="5271770" cy="4841875"/>
                    </a:xfrm>
                    <a:prstGeom prst="rect">
                      <a:avLst/>
                    </a:prstGeom>
                  </pic:spPr>
                </pic:pic>
              </a:graphicData>
            </a:graphic>
          </wp:inline>
        </w:drawing>
      </w:r>
    </w:p>
    <w:p w:rsidR="000C025A" w:rsidRDefault="007901CF">
      <w:pPr>
        <w:spacing w:line="360" w:lineRule="auto"/>
        <w:jc w:val="left"/>
        <w:rPr>
          <w:rFonts w:ascii="楷体" w:eastAsia="楷体" w:hAnsi="楷体" w:cs="楷体"/>
          <w:sz w:val="32"/>
          <w:szCs w:val="32"/>
        </w:rPr>
      </w:pPr>
      <w:r>
        <w:rPr>
          <w:rFonts w:ascii="楷体" w:eastAsia="楷体" w:hAnsi="楷体" w:cs="楷体" w:hint="eastAsia"/>
          <w:b/>
          <w:bCs/>
          <w:sz w:val="32"/>
          <w:szCs w:val="32"/>
        </w:rPr>
        <w:t>备注：</w:t>
      </w:r>
      <w:r>
        <w:rPr>
          <w:rFonts w:ascii="仿宋" w:eastAsia="仿宋" w:hAnsi="仿宋" w:cs="仿宋" w:hint="eastAsia"/>
          <w:sz w:val="32"/>
          <w:szCs w:val="32"/>
        </w:rPr>
        <w:t>虚线部分表示由供应商完成（企业自主生产除外）</w:t>
      </w:r>
    </w:p>
    <w:p w:rsidR="000C025A" w:rsidRDefault="007901CF">
      <w:pPr>
        <w:numPr>
          <w:ilvl w:val="0"/>
          <w:numId w:val="4"/>
        </w:numPr>
        <w:spacing w:line="360" w:lineRule="auto"/>
        <w:ind w:left="424" w:hanging="4"/>
        <w:outlineLvl w:val="2"/>
        <w:rPr>
          <w:rFonts w:ascii="楷体" w:eastAsia="楷体" w:hAnsi="楷体" w:cs="楷体"/>
          <w:sz w:val="32"/>
          <w:szCs w:val="32"/>
        </w:rPr>
      </w:pPr>
      <w:r>
        <w:rPr>
          <w:rFonts w:ascii="楷体" w:eastAsia="楷体" w:hAnsi="楷体" w:cs="楷体" w:hint="eastAsia"/>
          <w:sz w:val="32"/>
          <w:szCs w:val="32"/>
        </w:rPr>
        <w:t>生产环节风险点</w:t>
      </w:r>
    </w:p>
    <w:p w:rsidR="000C025A" w:rsidRDefault="007901CF">
      <w:pPr>
        <w:spacing w:line="360" w:lineRule="auto"/>
        <w:ind w:firstLineChars="200" w:firstLine="636"/>
        <w:rPr>
          <w:rFonts w:ascii="仿宋" w:eastAsia="仿宋" w:hAnsi="仿宋" w:cs="Arial"/>
          <w:color w:val="000000"/>
          <w:spacing w:val="-1"/>
          <w:sz w:val="32"/>
          <w:szCs w:val="28"/>
        </w:rPr>
      </w:pPr>
      <w:r>
        <w:rPr>
          <w:rFonts w:ascii="仿宋" w:eastAsia="仿宋" w:hAnsi="仿宋" w:cs="Arial" w:hint="eastAsia"/>
          <w:color w:val="000000"/>
          <w:spacing w:val="-1"/>
          <w:sz w:val="32"/>
          <w:szCs w:val="28"/>
        </w:rPr>
        <w:lastRenderedPageBreak/>
        <w:t>双散射束流配送系统生产环节风险点主要包括部件安装、计算机及软件安装和束流调试等。</w:t>
      </w:r>
    </w:p>
    <w:p w:rsidR="000C025A" w:rsidRDefault="007901CF">
      <w:pPr>
        <w:numPr>
          <w:ilvl w:val="0"/>
          <w:numId w:val="4"/>
        </w:numPr>
        <w:spacing w:line="360" w:lineRule="auto"/>
        <w:ind w:left="424" w:hanging="4"/>
        <w:outlineLvl w:val="2"/>
        <w:rPr>
          <w:rFonts w:ascii="楷体" w:eastAsia="楷体" w:hAnsi="楷体" w:cs="楷体"/>
          <w:sz w:val="32"/>
          <w:szCs w:val="32"/>
        </w:rPr>
      </w:pPr>
      <w:r>
        <w:rPr>
          <w:rFonts w:ascii="楷体" w:eastAsia="楷体" w:hAnsi="楷体" w:cs="楷体" w:hint="eastAsia"/>
          <w:sz w:val="32"/>
          <w:szCs w:val="32"/>
        </w:rPr>
        <w:t>生产质量管理关键控制措施</w:t>
      </w:r>
    </w:p>
    <w:tbl>
      <w:tblPr>
        <w:tblStyle w:val="af4"/>
        <w:tblW w:w="8638" w:type="dxa"/>
        <w:jc w:val="center"/>
        <w:tblLook w:val="04A0" w:firstRow="1" w:lastRow="0" w:firstColumn="1" w:lastColumn="0" w:noHBand="0" w:noVBand="1"/>
      </w:tblPr>
      <w:tblGrid>
        <w:gridCol w:w="849"/>
        <w:gridCol w:w="1179"/>
        <w:gridCol w:w="6610"/>
      </w:tblGrid>
      <w:tr w:rsidR="000C025A">
        <w:trPr>
          <w:trHeight w:val="608"/>
          <w:jc w:val="center"/>
        </w:trPr>
        <w:tc>
          <w:tcPr>
            <w:tcW w:w="849" w:type="dxa"/>
            <w:vAlign w:val="center"/>
          </w:tcPr>
          <w:p w:rsidR="000C025A" w:rsidRDefault="007901CF">
            <w:pPr>
              <w:spacing w:line="360" w:lineRule="auto"/>
              <w:jc w:val="center"/>
              <w:rPr>
                <w:rFonts w:ascii="仿宋" w:eastAsia="仿宋" w:hAnsi="仿宋" w:cs="Arial"/>
                <w:b/>
                <w:bCs/>
                <w:color w:val="000000"/>
                <w:spacing w:val="-1"/>
                <w:sz w:val="24"/>
                <w:szCs w:val="22"/>
              </w:rPr>
            </w:pPr>
            <w:r>
              <w:rPr>
                <w:rFonts w:ascii="仿宋" w:eastAsia="仿宋" w:hAnsi="仿宋" w:cs="Arial" w:hint="eastAsia"/>
                <w:b/>
                <w:bCs/>
                <w:color w:val="000000"/>
                <w:spacing w:val="-1"/>
                <w:sz w:val="24"/>
                <w:szCs w:val="22"/>
              </w:rPr>
              <w:t>序号</w:t>
            </w:r>
          </w:p>
        </w:tc>
        <w:tc>
          <w:tcPr>
            <w:tcW w:w="1179" w:type="dxa"/>
            <w:vAlign w:val="center"/>
          </w:tcPr>
          <w:p w:rsidR="000C025A" w:rsidRDefault="007901CF">
            <w:pPr>
              <w:spacing w:line="360" w:lineRule="auto"/>
              <w:jc w:val="center"/>
              <w:rPr>
                <w:rFonts w:ascii="仿宋" w:eastAsia="仿宋" w:hAnsi="仿宋" w:cs="Arial"/>
                <w:b/>
                <w:bCs/>
                <w:color w:val="000000"/>
                <w:spacing w:val="-1"/>
                <w:sz w:val="24"/>
                <w:szCs w:val="22"/>
              </w:rPr>
            </w:pPr>
            <w:r>
              <w:rPr>
                <w:rFonts w:ascii="仿宋" w:eastAsia="仿宋" w:hAnsi="仿宋" w:cs="Arial" w:hint="eastAsia"/>
                <w:b/>
                <w:bCs/>
                <w:color w:val="000000"/>
                <w:spacing w:val="-1"/>
                <w:sz w:val="24"/>
                <w:szCs w:val="22"/>
              </w:rPr>
              <w:t>风险点</w:t>
            </w:r>
          </w:p>
        </w:tc>
        <w:tc>
          <w:tcPr>
            <w:tcW w:w="6610" w:type="dxa"/>
            <w:vAlign w:val="center"/>
          </w:tcPr>
          <w:p w:rsidR="000C025A" w:rsidRDefault="007901CF">
            <w:pPr>
              <w:spacing w:line="360" w:lineRule="auto"/>
              <w:jc w:val="center"/>
              <w:rPr>
                <w:rFonts w:ascii="仿宋" w:eastAsia="仿宋" w:hAnsi="仿宋" w:cs="Arial"/>
                <w:b/>
                <w:bCs/>
                <w:color w:val="000000"/>
                <w:spacing w:val="-1"/>
                <w:sz w:val="24"/>
                <w:szCs w:val="22"/>
              </w:rPr>
            </w:pPr>
            <w:r>
              <w:rPr>
                <w:rFonts w:ascii="仿宋" w:eastAsia="仿宋" w:hAnsi="仿宋" w:cs="Arial" w:hint="eastAsia"/>
                <w:b/>
                <w:bCs/>
                <w:color w:val="000000"/>
                <w:spacing w:val="-1"/>
                <w:sz w:val="24"/>
                <w:szCs w:val="22"/>
              </w:rPr>
              <w:t>控制措施</w:t>
            </w:r>
          </w:p>
        </w:tc>
      </w:tr>
      <w:tr w:rsidR="000C025A">
        <w:trPr>
          <w:trHeight w:val="416"/>
          <w:jc w:val="center"/>
        </w:trPr>
        <w:tc>
          <w:tcPr>
            <w:tcW w:w="849" w:type="dxa"/>
            <w:vAlign w:val="center"/>
          </w:tcPr>
          <w:p w:rsidR="000C025A" w:rsidRDefault="007901CF">
            <w:pPr>
              <w:spacing w:line="360" w:lineRule="auto"/>
              <w:jc w:val="center"/>
              <w:rPr>
                <w:rFonts w:ascii="仿宋" w:eastAsia="仿宋" w:hAnsi="仿宋" w:cs="Arial"/>
                <w:color w:val="000000"/>
                <w:spacing w:val="-1"/>
                <w:sz w:val="24"/>
                <w:szCs w:val="22"/>
              </w:rPr>
            </w:pPr>
            <w:r>
              <w:rPr>
                <w:rFonts w:ascii="仿宋" w:eastAsia="仿宋" w:hAnsi="仿宋" w:cs="Arial" w:hint="eastAsia"/>
                <w:color w:val="000000"/>
                <w:spacing w:val="-1"/>
                <w:sz w:val="24"/>
                <w:szCs w:val="22"/>
              </w:rPr>
              <w:t>1</w:t>
            </w:r>
          </w:p>
        </w:tc>
        <w:tc>
          <w:tcPr>
            <w:tcW w:w="1179" w:type="dxa"/>
            <w:vAlign w:val="center"/>
          </w:tcPr>
          <w:p w:rsidR="000C025A" w:rsidRDefault="007901CF">
            <w:pPr>
              <w:spacing w:line="360" w:lineRule="auto"/>
              <w:jc w:val="left"/>
              <w:rPr>
                <w:rFonts w:ascii="仿宋" w:eastAsia="仿宋" w:hAnsi="仿宋" w:cs="Arial"/>
                <w:color w:val="000000"/>
                <w:spacing w:val="-1"/>
                <w:sz w:val="24"/>
                <w:szCs w:val="22"/>
              </w:rPr>
            </w:pPr>
            <w:r>
              <w:rPr>
                <w:rFonts w:ascii="仿宋" w:eastAsia="仿宋" w:hAnsi="仿宋" w:cs="Arial" w:hint="eastAsia"/>
                <w:color w:val="000000"/>
                <w:spacing w:val="-1"/>
                <w:sz w:val="24"/>
                <w:szCs w:val="22"/>
              </w:rPr>
              <w:t>生产管理</w:t>
            </w:r>
          </w:p>
        </w:tc>
        <w:tc>
          <w:tcPr>
            <w:tcW w:w="6610" w:type="dxa"/>
            <w:vAlign w:val="center"/>
          </w:tcPr>
          <w:p w:rsidR="000C025A" w:rsidRDefault="007901CF">
            <w:pPr>
              <w:spacing w:line="360" w:lineRule="auto"/>
              <w:rPr>
                <w:rFonts w:ascii="仿宋" w:eastAsia="仿宋" w:hAnsi="仿宋" w:cs="Arial"/>
                <w:color w:val="000000"/>
                <w:spacing w:val="-1"/>
                <w:sz w:val="24"/>
                <w:szCs w:val="22"/>
              </w:rPr>
            </w:pPr>
            <w:r>
              <w:rPr>
                <w:rFonts w:ascii="仿宋" w:eastAsia="仿宋" w:hAnsi="仿宋" w:cs="Arial" w:hint="eastAsia"/>
                <w:color w:val="000000"/>
                <w:spacing w:val="-1"/>
                <w:sz w:val="24"/>
                <w:szCs w:val="22"/>
              </w:rPr>
              <w:t>①企业应制定生产相关作业文件；</w:t>
            </w:r>
          </w:p>
          <w:p w:rsidR="000C025A" w:rsidRDefault="007901CF">
            <w:pPr>
              <w:spacing w:line="360" w:lineRule="auto"/>
              <w:rPr>
                <w:rFonts w:ascii="仿宋" w:eastAsia="仿宋" w:hAnsi="仿宋" w:cs="Arial"/>
                <w:color w:val="000000"/>
                <w:spacing w:val="-1"/>
                <w:sz w:val="24"/>
                <w:szCs w:val="22"/>
              </w:rPr>
            </w:pPr>
            <w:r>
              <w:rPr>
                <w:rFonts w:ascii="仿宋" w:eastAsia="仿宋" w:hAnsi="仿宋" w:cs="Arial" w:hint="eastAsia"/>
                <w:color w:val="000000"/>
                <w:spacing w:val="-1"/>
                <w:sz w:val="24"/>
                <w:szCs w:val="22"/>
              </w:rPr>
              <w:t>②企业应对识别的关键工序和特殊过程进行验证或确认；</w:t>
            </w:r>
          </w:p>
          <w:p w:rsidR="000C025A" w:rsidRDefault="007901CF">
            <w:pPr>
              <w:spacing w:line="360" w:lineRule="auto"/>
              <w:rPr>
                <w:rFonts w:ascii="仿宋" w:eastAsia="仿宋" w:hAnsi="仿宋" w:cs="Arial"/>
                <w:color w:val="000000"/>
                <w:spacing w:val="-1"/>
                <w:sz w:val="24"/>
                <w:szCs w:val="22"/>
              </w:rPr>
            </w:pPr>
            <w:r>
              <w:rPr>
                <w:rFonts w:ascii="仿宋" w:eastAsia="仿宋" w:hAnsi="仿宋" w:cs="Arial" w:hint="eastAsia"/>
                <w:color w:val="000000"/>
                <w:spacing w:val="-1"/>
                <w:sz w:val="24"/>
                <w:szCs w:val="22"/>
              </w:rPr>
              <w:t>③企业应按照制定的作业文件对双散射束流配送系统，进行生产、安装、调试。</w:t>
            </w:r>
          </w:p>
        </w:tc>
      </w:tr>
      <w:tr w:rsidR="000C025A">
        <w:trPr>
          <w:trHeight w:val="90"/>
          <w:jc w:val="center"/>
        </w:trPr>
        <w:tc>
          <w:tcPr>
            <w:tcW w:w="849" w:type="dxa"/>
            <w:vAlign w:val="center"/>
          </w:tcPr>
          <w:p w:rsidR="000C025A" w:rsidRDefault="007901CF">
            <w:pPr>
              <w:spacing w:line="360" w:lineRule="auto"/>
              <w:jc w:val="center"/>
              <w:rPr>
                <w:rFonts w:ascii="仿宋" w:eastAsia="仿宋" w:hAnsi="仿宋" w:cs="Arial"/>
                <w:color w:val="000000"/>
                <w:spacing w:val="-1"/>
                <w:sz w:val="24"/>
                <w:szCs w:val="22"/>
              </w:rPr>
            </w:pPr>
            <w:r>
              <w:rPr>
                <w:rFonts w:ascii="仿宋" w:eastAsia="仿宋" w:hAnsi="仿宋" w:cs="Arial" w:hint="eastAsia"/>
                <w:color w:val="000000"/>
                <w:spacing w:val="-1"/>
                <w:sz w:val="24"/>
                <w:szCs w:val="22"/>
              </w:rPr>
              <w:t>2</w:t>
            </w:r>
          </w:p>
        </w:tc>
        <w:tc>
          <w:tcPr>
            <w:tcW w:w="1179" w:type="dxa"/>
            <w:vAlign w:val="center"/>
          </w:tcPr>
          <w:p w:rsidR="000C025A" w:rsidRDefault="007901CF">
            <w:pPr>
              <w:spacing w:line="360" w:lineRule="auto"/>
              <w:jc w:val="left"/>
              <w:rPr>
                <w:rFonts w:ascii="仿宋" w:eastAsia="仿宋" w:hAnsi="仿宋" w:cs="Arial"/>
                <w:color w:val="000000"/>
                <w:spacing w:val="-1"/>
                <w:sz w:val="24"/>
                <w:szCs w:val="22"/>
              </w:rPr>
            </w:pPr>
            <w:r>
              <w:rPr>
                <w:rFonts w:ascii="仿宋" w:eastAsia="仿宋" w:hAnsi="仿宋" w:cs="Arial" w:hint="eastAsia"/>
                <w:color w:val="000000"/>
                <w:spacing w:val="-1"/>
                <w:sz w:val="24"/>
                <w:szCs w:val="22"/>
              </w:rPr>
              <w:t>安装</w:t>
            </w:r>
          </w:p>
        </w:tc>
        <w:tc>
          <w:tcPr>
            <w:tcW w:w="6610" w:type="dxa"/>
            <w:vAlign w:val="center"/>
          </w:tcPr>
          <w:p w:rsidR="000C025A" w:rsidRDefault="007901CF">
            <w:pPr>
              <w:spacing w:line="360" w:lineRule="auto"/>
              <w:rPr>
                <w:rFonts w:ascii="仿宋" w:eastAsia="仿宋" w:hAnsi="仿宋" w:cs="Arial"/>
                <w:b/>
                <w:bCs/>
                <w:color w:val="000000"/>
                <w:spacing w:val="-1"/>
                <w:sz w:val="24"/>
                <w:szCs w:val="22"/>
              </w:rPr>
            </w:pPr>
            <w:r>
              <w:rPr>
                <w:rFonts w:ascii="仿宋" w:eastAsia="仿宋" w:hAnsi="仿宋" w:cs="Arial" w:hint="eastAsia"/>
                <w:b/>
                <w:bCs/>
                <w:color w:val="000000"/>
                <w:spacing w:val="-1"/>
                <w:sz w:val="24"/>
                <w:szCs w:val="22"/>
              </w:rPr>
              <w:t>部件安装</w:t>
            </w:r>
          </w:p>
          <w:p w:rsidR="000C025A" w:rsidRDefault="007901CF">
            <w:pPr>
              <w:spacing w:line="360" w:lineRule="auto"/>
              <w:rPr>
                <w:rFonts w:ascii="仿宋" w:eastAsia="仿宋" w:hAnsi="仿宋" w:cs="Arial"/>
                <w:color w:val="000000"/>
                <w:spacing w:val="-1"/>
                <w:sz w:val="24"/>
                <w:szCs w:val="22"/>
              </w:rPr>
            </w:pPr>
            <w:r>
              <w:rPr>
                <w:rFonts w:ascii="仿宋" w:eastAsia="仿宋" w:hAnsi="仿宋" w:cs="Arial" w:hint="eastAsia"/>
                <w:color w:val="000000"/>
                <w:spacing w:val="-1"/>
                <w:sz w:val="24"/>
                <w:szCs w:val="22"/>
              </w:rPr>
              <w:t>确认治疗头安装位置与理论设计位置一致。如果安装精度达不到要求，可能导致治疗头散射组件光路中心与等中心理论高度等方向偏差，从而导致束流出现偏差。</w:t>
            </w:r>
          </w:p>
          <w:p w:rsidR="000C025A" w:rsidRDefault="007901CF">
            <w:pPr>
              <w:spacing w:line="360" w:lineRule="auto"/>
              <w:rPr>
                <w:rFonts w:ascii="仿宋" w:eastAsia="仿宋" w:hAnsi="仿宋" w:cs="Arial"/>
                <w:color w:val="000000"/>
                <w:spacing w:val="-1"/>
                <w:sz w:val="24"/>
                <w:szCs w:val="22"/>
              </w:rPr>
            </w:pPr>
            <w:r>
              <w:rPr>
                <w:rFonts w:ascii="仿宋" w:eastAsia="仿宋" w:hAnsi="仿宋" w:cs="Arial" w:hint="eastAsia"/>
                <w:color w:val="000000"/>
                <w:spacing w:val="-1"/>
                <w:sz w:val="24"/>
                <w:szCs w:val="22"/>
              </w:rPr>
              <w:t>射程调节器、调制轮、散射片、监测电离室等硬件组件齐全，电气连接正确，系统上电正常。</w:t>
            </w:r>
          </w:p>
          <w:p w:rsidR="000C025A" w:rsidRDefault="007901CF">
            <w:pPr>
              <w:spacing w:line="360" w:lineRule="auto"/>
              <w:rPr>
                <w:rFonts w:ascii="仿宋" w:eastAsia="仿宋" w:hAnsi="仿宋" w:cs="Arial"/>
                <w:color w:val="000000"/>
                <w:spacing w:val="-1"/>
                <w:sz w:val="24"/>
                <w:szCs w:val="22"/>
              </w:rPr>
            </w:pPr>
            <w:r>
              <w:rPr>
                <w:rFonts w:ascii="仿宋" w:eastAsia="仿宋" w:hAnsi="仿宋" w:cs="Arial" w:hint="eastAsia"/>
                <w:color w:val="000000"/>
                <w:spacing w:val="-1"/>
                <w:sz w:val="24"/>
                <w:szCs w:val="22"/>
              </w:rPr>
              <w:t>如果硬件配置不齐全，可能会导致产品性能/功能丧失。</w:t>
            </w:r>
          </w:p>
          <w:p w:rsidR="000C025A" w:rsidRDefault="007901CF">
            <w:pPr>
              <w:spacing w:line="360" w:lineRule="auto"/>
              <w:rPr>
                <w:rFonts w:ascii="仿宋" w:eastAsia="仿宋" w:hAnsi="仿宋" w:cs="Arial"/>
                <w:color w:val="000000"/>
                <w:spacing w:val="-1"/>
                <w:sz w:val="24"/>
                <w:szCs w:val="22"/>
              </w:rPr>
            </w:pPr>
            <w:r>
              <w:rPr>
                <w:rFonts w:ascii="仿宋" w:eastAsia="仿宋" w:hAnsi="仿宋" w:cs="Arial" w:hint="eastAsia"/>
                <w:color w:val="000000"/>
                <w:spacing w:val="-1"/>
                <w:sz w:val="24"/>
                <w:szCs w:val="22"/>
              </w:rPr>
              <w:t>如果电气连接不正确，可能会导致产品承受非预期电能。</w:t>
            </w:r>
          </w:p>
          <w:p w:rsidR="000C025A" w:rsidRDefault="007901CF">
            <w:pPr>
              <w:spacing w:line="360" w:lineRule="auto"/>
              <w:rPr>
                <w:rFonts w:ascii="仿宋" w:eastAsia="仿宋" w:hAnsi="仿宋" w:cs="Arial"/>
                <w:color w:val="000000"/>
                <w:spacing w:val="-1"/>
                <w:sz w:val="24"/>
                <w:szCs w:val="22"/>
              </w:rPr>
            </w:pPr>
            <w:r>
              <w:rPr>
                <w:rFonts w:ascii="仿宋" w:eastAsia="仿宋" w:hAnsi="仿宋" w:cs="Arial" w:hint="eastAsia"/>
                <w:color w:val="000000"/>
                <w:spacing w:val="-1"/>
                <w:sz w:val="24"/>
                <w:szCs w:val="22"/>
              </w:rPr>
              <w:t>如果系统上电不正常，可能会导致产品性能/功能丧失。</w:t>
            </w:r>
          </w:p>
          <w:p w:rsidR="000C025A" w:rsidRDefault="007901CF">
            <w:pPr>
              <w:spacing w:line="360" w:lineRule="auto"/>
              <w:rPr>
                <w:rFonts w:ascii="仿宋" w:eastAsia="仿宋" w:hAnsi="仿宋" w:cs="Arial"/>
                <w:b/>
                <w:bCs/>
                <w:color w:val="000000"/>
                <w:spacing w:val="-1"/>
                <w:sz w:val="24"/>
                <w:szCs w:val="22"/>
              </w:rPr>
            </w:pPr>
            <w:r>
              <w:rPr>
                <w:rFonts w:ascii="仿宋" w:eastAsia="仿宋" w:hAnsi="仿宋" w:cs="Arial" w:hint="eastAsia"/>
                <w:b/>
                <w:bCs/>
                <w:color w:val="000000"/>
                <w:spacing w:val="-1"/>
                <w:sz w:val="24"/>
                <w:szCs w:val="22"/>
              </w:rPr>
              <w:t>计算机及软件安装</w:t>
            </w:r>
          </w:p>
          <w:p w:rsidR="000C025A" w:rsidRDefault="007901CF">
            <w:pPr>
              <w:spacing w:line="360" w:lineRule="auto"/>
              <w:rPr>
                <w:rFonts w:ascii="仿宋" w:eastAsia="仿宋" w:hAnsi="仿宋" w:cs="Arial"/>
                <w:color w:val="000000"/>
                <w:spacing w:val="-1"/>
                <w:sz w:val="24"/>
                <w:szCs w:val="22"/>
              </w:rPr>
            </w:pPr>
            <w:r>
              <w:rPr>
                <w:rFonts w:ascii="仿宋" w:eastAsia="仿宋" w:hAnsi="仿宋" w:cs="Arial" w:hint="eastAsia"/>
                <w:color w:val="000000"/>
                <w:spacing w:val="-1"/>
                <w:sz w:val="24"/>
                <w:szCs w:val="22"/>
              </w:rPr>
              <w:t>软件版本安装正确。</w:t>
            </w:r>
          </w:p>
          <w:p w:rsidR="000C025A" w:rsidRDefault="007901CF">
            <w:pPr>
              <w:spacing w:line="360" w:lineRule="auto"/>
              <w:rPr>
                <w:rFonts w:ascii="仿宋" w:eastAsia="仿宋" w:hAnsi="仿宋" w:cs="Arial"/>
                <w:color w:val="000000"/>
                <w:spacing w:val="-1"/>
                <w:sz w:val="24"/>
                <w:szCs w:val="22"/>
              </w:rPr>
            </w:pPr>
            <w:r>
              <w:rPr>
                <w:rFonts w:ascii="仿宋" w:eastAsia="仿宋" w:hAnsi="仿宋" w:cs="Arial" w:hint="eastAsia"/>
                <w:color w:val="000000"/>
                <w:spacing w:val="-1"/>
                <w:sz w:val="24"/>
                <w:szCs w:val="22"/>
              </w:rPr>
              <w:t>如果软件版本安装不正确，可能会导致不正确或不适当的输出（如射程不正确或SOBP展开不正确）被应用于患者放射治疗。</w:t>
            </w:r>
          </w:p>
        </w:tc>
      </w:tr>
      <w:tr w:rsidR="000C025A">
        <w:trPr>
          <w:trHeight w:val="632"/>
          <w:jc w:val="center"/>
        </w:trPr>
        <w:tc>
          <w:tcPr>
            <w:tcW w:w="849" w:type="dxa"/>
            <w:vAlign w:val="center"/>
          </w:tcPr>
          <w:p w:rsidR="000C025A" w:rsidRDefault="007901CF">
            <w:pPr>
              <w:spacing w:line="360" w:lineRule="auto"/>
              <w:jc w:val="center"/>
              <w:rPr>
                <w:rFonts w:ascii="仿宋" w:eastAsia="仿宋" w:hAnsi="仿宋" w:cs="Arial"/>
                <w:color w:val="000000"/>
                <w:spacing w:val="-1"/>
                <w:sz w:val="24"/>
                <w:szCs w:val="22"/>
              </w:rPr>
            </w:pPr>
            <w:r>
              <w:rPr>
                <w:rFonts w:ascii="仿宋" w:eastAsia="仿宋" w:hAnsi="仿宋" w:cs="Arial" w:hint="eastAsia"/>
                <w:color w:val="000000"/>
                <w:spacing w:val="-1"/>
                <w:sz w:val="24"/>
                <w:szCs w:val="22"/>
              </w:rPr>
              <w:t>3</w:t>
            </w:r>
          </w:p>
        </w:tc>
        <w:tc>
          <w:tcPr>
            <w:tcW w:w="1179" w:type="dxa"/>
            <w:vAlign w:val="center"/>
          </w:tcPr>
          <w:p w:rsidR="000C025A" w:rsidRDefault="007901CF">
            <w:pPr>
              <w:spacing w:line="360" w:lineRule="auto"/>
              <w:jc w:val="left"/>
              <w:rPr>
                <w:rFonts w:ascii="仿宋" w:eastAsia="仿宋" w:hAnsi="仿宋" w:cs="Arial"/>
                <w:color w:val="000000"/>
                <w:spacing w:val="-1"/>
                <w:sz w:val="24"/>
                <w:szCs w:val="22"/>
              </w:rPr>
            </w:pPr>
            <w:r>
              <w:rPr>
                <w:rFonts w:ascii="仿宋" w:eastAsia="仿宋" w:hAnsi="仿宋" w:cs="Arial" w:hint="eastAsia"/>
                <w:color w:val="000000"/>
                <w:spacing w:val="-1"/>
                <w:sz w:val="24"/>
                <w:szCs w:val="22"/>
              </w:rPr>
              <w:t>调试</w:t>
            </w:r>
          </w:p>
        </w:tc>
        <w:tc>
          <w:tcPr>
            <w:tcW w:w="6610" w:type="dxa"/>
          </w:tcPr>
          <w:p w:rsidR="000C025A" w:rsidRDefault="007901CF">
            <w:pPr>
              <w:spacing w:line="360" w:lineRule="auto"/>
              <w:rPr>
                <w:rFonts w:ascii="仿宋" w:eastAsia="仿宋" w:hAnsi="仿宋" w:cs="Arial"/>
                <w:b/>
                <w:bCs/>
                <w:color w:val="000000"/>
                <w:spacing w:val="-1"/>
                <w:sz w:val="24"/>
                <w:szCs w:val="22"/>
              </w:rPr>
            </w:pPr>
            <w:r>
              <w:rPr>
                <w:rFonts w:ascii="仿宋" w:eastAsia="仿宋" w:hAnsi="仿宋" w:cs="Arial" w:hint="eastAsia"/>
                <w:b/>
                <w:bCs/>
                <w:color w:val="000000"/>
                <w:spacing w:val="-1"/>
                <w:sz w:val="24"/>
                <w:szCs w:val="22"/>
              </w:rPr>
              <w:t>束流调试</w:t>
            </w:r>
          </w:p>
          <w:p w:rsidR="000C025A" w:rsidRDefault="007901CF">
            <w:pPr>
              <w:spacing w:line="360" w:lineRule="auto"/>
              <w:rPr>
                <w:rFonts w:ascii="仿宋" w:eastAsia="仿宋" w:hAnsi="仿宋" w:cs="Arial"/>
                <w:color w:val="000000"/>
                <w:spacing w:val="-1"/>
                <w:sz w:val="24"/>
                <w:szCs w:val="22"/>
              </w:rPr>
            </w:pPr>
            <w:r>
              <w:rPr>
                <w:rFonts w:ascii="仿宋" w:eastAsia="仿宋" w:hAnsi="仿宋" w:cs="Arial" w:hint="eastAsia"/>
                <w:color w:val="000000"/>
                <w:spacing w:val="-1"/>
                <w:sz w:val="24"/>
                <w:szCs w:val="22"/>
              </w:rPr>
              <w:t>射程调节器：当其角度无法保证时，会导致束流配送射程末端精度偏差不达标，可能会导致病灶下游组织接受额外剂量照射，带来治疗不确定性。</w:t>
            </w:r>
          </w:p>
          <w:p w:rsidR="000C025A" w:rsidRDefault="007901CF">
            <w:pPr>
              <w:spacing w:line="360" w:lineRule="auto"/>
              <w:rPr>
                <w:rFonts w:ascii="仿宋" w:eastAsia="仿宋" w:hAnsi="仿宋" w:cs="Arial"/>
                <w:color w:val="000000"/>
                <w:spacing w:val="-1"/>
                <w:sz w:val="24"/>
                <w:szCs w:val="22"/>
              </w:rPr>
            </w:pPr>
            <w:r>
              <w:rPr>
                <w:rFonts w:ascii="仿宋" w:eastAsia="仿宋" w:hAnsi="仿宋" w:cs="Arial" w:hint="eastAsia"/>
                <w:color w:val="000000"/>
                <w:spacing w:val="-1"/>
                <w:sz w:val="24"/>
                <w:szCs w:val="22"/>
              </w:rPr>
              <w:t>调制轮与散射片组合性能无法保证时，会导致束流横向及纵向展宽的不均匀，从而影响治疗的有效性。</w:t>
            </w:r>
          </w:p>
        </w:tc>
      </w:tr>
      <w:tr w:rsidR="000C025A">
        <w:trPr>
          <w:trHeight w:val="1310"/>
          <w:jc w:val="center"/>
        </w:trPr>
        <w:tc>
          <w:tcPr>
            <w:tcW w:w="849" w:type="dxa"/>
            <w:vAlign w:val="center"/>
          </w:tcPr>
          <w:p w:rsidR="000C025A" w:rsidRDefault="007901CF">
            <w:pPr>
              <w:spacing w:line="360" w:lineRule="auto"/>
              <w:jc w:val="center"/>
              <w:rPr>
                <w:rFonts w:ascii="仿宋" w:eastAsia="仿宋" w:hAnsi="仿宋" w:cs="Arial"/>
                <w:color w:val="000000"/>
                <w:spacing w:val="-1"/>
                <w:sz w:val="24"/>
                <w:szCs w:val="22"/>
              </w:rPr>
            </w:pPr>
            <w:r>
              <w:rPr>
                <w:rFonts w:ascii="仿宋" w:eastAsia="仿宋" w:hAnsi="仿宋" w:cs="Arial" w:hint="eastAsia"/>
                <w:color w:val="000000"/>
                <w:spacing w:val="-1"/>
                <w:sz w:val="24"/>
                <w:szCs w:val="22"/>
              </w:rPr>
              <w:lastRenderedPageBreak/>
              <w:t>4</w:t>
            </w:r>
          </w:p>
        </w:tc>
        <w:tc>
          <w:tcPr>
            <w:tcW w:w="1179" w:type="dxa"/>
            <w:vAlign w:val="center"/>
          </w:tcPr>
          <w:p w:rsidR="000C025A" w:rsidRDefault="007901CF">
            <w:pPr>
              <w:spacing w:line="360" w:lineRule="auto"/>
              <w:jc w:val="left"/>
              <w:rPr>
                <w:rFonts w:ascii="仿宋" w:eastAsia="仿宋" w:hAnsi="仿宋" w:cs="Arial"/>
                <w:color w:val="000000"/>
                <w:spacing w:val="-1"/>
                <w:sz w:val="24"/>
                <w:szCs w:val="22"/>
              </w:rPr>
            </w:pPr>
            <w:r>
              <w:rPr>
                <w:rFonts w:ascii="仿宋" w:eastAsia="仿宋" w:hAnsi="仿宋" w:cs="Arial" w:hint="eastAsia"/>
                <w:color w:val="000000"/>
                <w:spacing w:val="-1"/>
                <w:sz w:val="24"/>
                <w:szCs w:val="22"/>
              </w:rPr>
              <w:t>质量控制</w:t>
            </w:r>
          </w:p>
        </w:tc>
        <w:tc>
          <w:tcPr>
            <w:tcW w:w="6610" w:type="dxa"/>
            <w:shd w:val="clear" w:color="auto" w:fill="auto"/>
            <w:vAlign w:val="center"/>
          </w:tcPr>
          <w:p w:rsidR="000C025A" w:rsidRDefault="007901CF">
            <w:pPr>
              <w:tabs>
                <w:tab w:val="left" w:pos="210"/>
              </w:tabs>
              <w:autoSpaceDE w:val="0"/>
              <w:autoSpaceDN w:val="0"/>
              <w:spacing w:line="360" w:lineRule="auto"/>
              <w:ind w:right="62"/>
              <w:rPr>
                <w:rFonts w:ascii="仿宋" w:eastAsia="仿宋" w:hAnsi="仿宋" w:cs="仿宋"/>
                <w:sz w:val="24"/>
              </w:rPr>
            </w:pPr>
            <w:r>
              <w:rPr>
                <w:rFonts w:ascii="仿宋" w:eastAsia="仿宋" w:hAnsi="仿宋" w:cs="仿宋" w:hint="eastAsia"/>
                <w:sz w:val="24"/>
              </w:rPr>
              <w:t>①企业应建立检验放行控制程序、不合格品控制程序、监视测量设备管理等程序文件；</w:t>
            </w:r>
          </w:p>
          <w:p w:rsidR="000C025A" w:rsidRDefault="007901CF">
            <w:pPr>
              <w:tabs>
                <w:tab w:val="left" w:pos="210"/>
              </w:tabs>
              <w:autoSpaceDE w:val="0"/>
              <w:autoSpaceDN w:val="0"/>
              <w:spacing w:line="360" w:lineRule="auto"/>
              <w:ind w:right="62"/>
              <w:rPr>
                <w:rFonts w:ascii="仿宋" w:eastAsia="仿宋" w:hAnsi="仿宋" w:cs="仿宋"/>
                <w:sz w:val="24"/>
              </w:rPr>
            </w:pPr>
            <w:r>
              <w:rPr>
                <w:rFonts w:ascii="仿宋" w:eastAsia="仿宋" w:hAnsi="仿宋" w:cs="仿宋" w:hint="eastAsia"/>
                <w:sz w:val="24"/>
              </w:rPr>
              <w:t>②企业应根据来料的特性，对不同部件、设备、系统所需来料质量进行分类控制；</w:t>
            </w:r>
          </w:p>
          <w:p w:rsidR="000C025A" w:rsidRDefault="007901CF">
            <w:pPr>
              <w:tabs>
                <w:tab w:val="left" w:pos="210"/>
              </w:tabs>
              <w:autoSpaceDE w:val="0"/>
              <w:autoSpaceDN w:val="0"/>
              <w:spacing w:line="360" w:lineRule="auto"/>
              <w:ind w:right="62"/>
              <w:rPr>
                <w:rFonts w:ascii="仿宋" w:eastAsia="仿宋" w:hAnsi="仿宋" w:cs="仿宋"/>
                <w:sz w:val="24"/>
              </w:rPr>
            </w:pPr>
            <w:r>
              <w:rPr>
                <w:rFonts w:ascii="仿宋" w:eastAsia="仿宋" w:hAnsi="仿宋" w:cs="仿宋" w:hint="eastAsia"/>
                <w:sz w:val="24"/>
              </w:rPr>
              <w:t>③企业应形成性能检验规程等相关检验作业文件；</w:t>
            </w:r>
          </w:p>
          <w:p w:rsidR="000C025A" w:rsidRDefault="007901CF">
            <w:pPr>
              <w:tabs>
                <w:tab w:val="left" w:pos="210"/>
              </w:tabs>
              <w:autoSpaceDE w:val="0"/>
              <w:autoSpaceDN w:val="0"/>
              <w:spacing w:line="360" w:lineRule="auto"/>
              <w:ind w:right="62"/>
              <w:rPr>
                <w:rFonts w:ascii="仿宋" w:eastAsia="仿宋" w:hAnsi="仿宋" w:cs="仿宋"/>
                <w:sz w:val="24"/>
              </w:rPr>
            </w:pPr>
            <w:r>
              <w:rPr>
                <w:rFonts w:ascii="仿宋" w:eastAsia="仿宋" w:hAnsi="仿宋" w:cs="仿宋" w:hint="eastAsia"/>
                <w:sz w:val="24"/>
              </w:rPr>
              <w:t>④企业进行常规控制的来料检验、过程检验，原则上不得进行委托检验。对于检验条件和设备要求较高，可委托具有资质的机构进行检验，以证明产品符合强制性标准和经注册或者备案的产品技术要求；</w:t>
            </w:r>
          </w:p>
          <w:p w:rsidR="000C025A" w:rsidRDefault="007901CF">
            <w:pPr>
              <w:spacing w:line="360" w:lineRule="auto"/>
              <w:rPr>
                <w:rFonts w:ascii="仿宋" w:eastAsia="仿宋" w:hAnsi="仿宋" w:cs="Arial"/>
                <w:color w:val="000000"/>
                <w:spacing w:val="-1"/>
                <w:sz w:val="24"/>
                <w:szCs w:val="22"/>
              </w:rPr>
            </w:pPr>
            <w:r>
              <w:rPr>
                <w:rFonts w:ascii="仿宋" w:eastAsia="仿宋" w:hAnsi="仿宋" w:cs="仿宋" w:hint="eastAsia"/>
                <w:sz w:val="24"/>
              </w:rPr>
              <w:t>⑤企业在安装调试检验中不同部件、设备、系统之间安装和调试应满足企业的规定。</w:t>
            </w:r>
          </w:p>
        </w:tc>
      </w:tr>
      <w:tr w:rsidR="000C025A">
        <w:trPr>
          <w:trHeight w:val="1310"/>
          <w:jc w:val="center"/>
        </w:trPr>
        <w:tc>
          <w:tcPr>
            <w:tcW w:w="849" w:type="dxa"/>
            <w:vAlign w:val="center"/>
          </w:tcPr>
          <w:p w:rsidR="000C025A" w:rsidRDefault="007901CF">
            <w:pPr>
              <w:spacing w:line="360" w:lineRule="auto"/>
              <w:jc w:val="center"/>
              <w:rPr>
                <w:rFonts w:ascii="仿宋" w:eastAsia="仿宋" w:hAnsi="仿宋" w:cs="Arial"/>
                <w:color w:val="000000"/>
                <w:spacing w:val="-1"/>
                <w:sz w:val="24"/>
                <w:szCs w:val="22"/>
              </w:rPr>
            </w:pPr>
            <w:r>
              <w:rPr>
                <w:rFonts w:ascii="仿宋" w:eastAsia="仿宋" w:hAnsi="仿宋" w:cs="Arial" w:hint="eastAsia"/>
                <w:color w:val="000000"/>
                <w:spacing w:val="-1"/>
                <w:sz w:val="24"/>
                <w:szCs w:val="22"/>
              </w:rPr>
              <w:t>5</w:t>
            </w:r>
          </w:p>
        </w:tc>
        <w:tc>
          <w:tcPr>
            <w:tcW w:w="1179" w:type="dxa"/>
            <w:vAlign w:val="center"/>
          </w:tcPr>
          <w:p w:rsidR="000C025A" w:rsidRDefault="007901CF">
            <w:pPr>
              <w:spacing w:line="360" w:lineRule="auto"/>
              <w:jc w:val="left"/>
              <w:rPr>
                <w:rFonts w:ascii="仿宋" w:eastAsia="仿宋" w:hAnsi="仿宋" w:cs="Arial"/>
                <w:color w:val="000000"/>
                <w:spacing w:val="-1"/>
                <w:sz w:val="24"/>
                <w:szCs w:val="22"/>
              </w:rPr>
            </w:pPr>
            <w:r>
              <w:rPr>
                <w:rFonts w:ascii="仿宋" w:eastAsia="仿宋" w:hAnsi="仿宋" w:cs="Arial" w:hint="eastAsia"/>
                <w:color w:val="000000"/>
                <w:spacing w:val="-1"/>
                <w:sz w:val="24"/>
                <w:szCs w:val="22"/>
              </w:rPr>
              <w:t>外协加工</w:t>
            </w:r>
          </w:p>
        </w:tc>
        <w:tc>
          <w:tcPr>
            <w:tcW w:w="6610" w:type="dxa"/>
            <w:shd w:val="clear" w:color="auto" w:fill="auto"/>
            <w:vAlign w:val="center"/>
          </w:tcPr>
          <w:p w:rsidR="000C025A" w:rsidRDefault="007901CF">
            <w:pPr>
              <w:autoSpaceDE w:val="0"/>
              <w:autoSpaceDN w:val="0"/>
              <w:spacing w:line="360" w:lineRule="auto"/>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1 \* GB3 \* MERGEFORMAT </w:instrText>
            </w:r>
            <w:r>
              <w:rPr>
                <w:rFonts w:ascii="仿宋" w:eastAsia="仿宋" w:hAnsi="仿宋" w:cs="仿宋" w:hint="eastAsia"/>
                <w:sz w:val="24"/>
              </w:rPr>
              <w:fldChar w:fldCharType="separate"/>
            </w:r>
            <w:r>
              <w:rPr>
                <w:rFonts w:ascii="仿宋" w:eastAsia="仿宋" w:hAnsi="仿宋" w:cs="仿宋" w:hint="eastAsia"/>
                <w:sz w:val="24"/>
              </w:rPr>
              <w:t>①</w:t>
            </w:r>
            <w:r>
              <w:rPr>
                <w:rFonts w:ascii="仿宋" w:eastAsia="仿宋" w:hAnsi="仿宋" w:cs="仿宋" w:hint="eastAsia"/>
                <w:sz w:val="24"/>
              </w:rPr>
              <w:fldChar w:fldCharType="end"/>
            </w:r>
            <w:r>
              <w:rPr>
                <w:rFonts w:ascii="仿宋" w:eastAsia="仿宋" w:hAnsi="仿宋" w:cs="仿宋" w:hint="eastAsia"/>
                <w:sz w:val="24"/>
              </w:rPr>
              <w:t>企业应根据物料的风险等级对关键部件的外协加工采取必要的控制措施，外协供应商应具备关键部件的生产、总装、测试及</w:t>
            </w:r>
            <w:proofErr w:type="gramStart"/>
            <w:r>
              <w:rPr>
                <w:rFonts w:ascii="仿宋" w:eastAsia="仿宋" w:hAnsi="仿宋" w:cs="仿宋" w:hint="eastAsia"/>
                <w:sz w:val="24"/>
              </w:rPr>
              <w:t>售后维保等</w:t>
            </w:r>
            <w:proofErr w:type="gramEnd"/>
            <w:r>
              <w:rPr>
                <w:rFonts w:ascii="仿宋" w:eastAsia="仿宋" w:hAnsi="仿宋" w:cs="仿宋" w:hint="eastAsia"/>
                <w:sz w:val="24"/>
              </w:rPr>
              <w:t>能力；</w:t>
            </w:r>
          </w:p>
          <w:p w:rsidR="000C025A" w:rsidRDefault="007901CF">
            <w:pPr>
              <w:autoSpaceDE w:val="0"/>
              <w:autoSpaceDN w:val="0"/>
              <w:spacing w:line="360" w:lineRule="auto"/>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2 \* GB3 \* MERGEFORMAT </w:instrText>
            </w:r>
            <w:r>
              <w:rPr>
                <w:rFonts w:ascii="仿宋" w:eastAsia="仿宋" w:hAnsi="仿宋" w:cs="仿宋" w:hint="eastAsia"/>
                <w:sz w:val="24"/>
              </w:rPr>
              <w:fldChar w:fldCharType="separate"/>
            </w:r>
            <w:r>
              <w:rPr>
                <w:rFonts w:ascii="仿宋" w:eastAsia="仿宋" w:hAnsi="仿宋" w:cs="仿宋" w:hint="eastAsia"/>
                <w:sz w:val="24"/>
              </w:rPr>
              <w:t>②</w:t>
            </w:r>
            <w:r>
              <w:rPr>
                <w:rFonts w:ascii="仿宋" w:eastAsia="仿宋" w:hAnsi="仿宋" w:cs="仿宋" w:hint="eastAsia"/>
                <w:sz w:val="24"/>
              </w:rPr>
              <w:fldChar w:fldCharType="end"/>
            </w:r>
            <w:r>
              <w:rPr>
                <w:rFonts w:ascii="仿宋" w:eastAsia="仿宋" w:hAnsi="仿宋" w:cs="仿宋" w:hint="eastAsia"/>
                <w:sz w:val="24"/>
              </w:rPr>
              <w:t>企业应与关键部件外协供应商签订采购合同和质量协议，采购合同和质量协议中应明确主要技术指标、验收要求及质保要求；</w:t>
            </w:r>
          </w:p>
          <w:p w:rsidR="000C025A" w:rsidRDefault="007901CF">
            <w:pPr>
              <w:spacing w:line="360" w:lineRule="auto"/>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3 \* GB3 \* MERGEFORMAT </w:instrText>
            </w:r>
            <w:r>
              <w:rPr>
                <w:rFonts w:ascii="仿宋" w:eastAsia="仿宋" w:hAnsi="仿宋" w:cs="仿宋" w:hint="eastAsia"/>
                <w:sz w:val="24"/>
              </w:rPr>
              <w:fldChar w:fldCharType="separate"/>
            </w:r>
            <w:r>
              <w:rPr>
                <w:rFonts w:ascii="仿宋" w:eastAsia="仿宋" w:hAnsi="仿宋" w:cs="仿宋" w:hint="eastAsia"/>
                <w:sz w:val="24"/>
              </w:rPr>
              <w:t>③</w:t>
            </w:r>
            <w:r>
              <w:rPr>
                <w:rFonts w:ascii="仿宋" w:eastAsia="仿宋" w:hAnsi="仿宋" w:cs="仿宋" w:hint="eastAsia"/>
                <w:sz w:val="24"/>
              </w:rPr>
              <w:fldChar w:fldCharType="end"/>
            </w:r>
            <w:r>
              <w:rPr>
                <w:rFonts w:ascii="仿宋" w:eastAsia="仿宋" w:hAnsi="仿宋" w:cs="仿宋" w:hint="eastAsia"/>
                <w:sz w:val="24"/>
              </w:rPr>
              <w:t>企业应定期对外协供应商质量管理体系进行现场审核或过程审核，其生产、质保等能力应满足要求。</w:t>
            </w:r>
          </w:p>
        </w:tc>
      </w:tr>
    </w:tbl>
    <w:p w:rsidR="000C025A" w:rsidRDefault="007901CF">
      <w:pPr>
        <w:numPr>
          <w:ilvl w:val="0"/>
          <w:numId w:val="3"/>
        </w:numPr>
        <w:spacing w:line="360" w:lineRule="auto"/>
        <w:ind w:left="0" w:firstLine="0"/>
        <w:outlineLvl w:val="1"/>
        <w:rPr>
          <w:rFonts w:ascii="黑体" w:eastAsia="黑体" w:hAnsi="黑体" w:cs="黑体"/>
          <w:sz w:val="32"/>
          <w:szCs w:val="32"/>
        </w:rPr>
      </w:pPr>
      <w:r>
        <w:rPr>
          <w:rFonts w:ascii="黑体" w:eastAsia="黑体" w:hAnsi="黑体" w:cs="黑体" w:hint="eastAsia"/>
          <w:sz w:val="32"/>
          <w:szCs w:val="32"/>
        </w:rPr>
        <w:t>检查要点</w:t>
      </w:r>
    </w:p>
    <w:p w:rsidR="000C025A" w:rsidRDefault="007901CF">
      <w:pPr>
        <w:numPr>
          <w:ilvl w:val="255"/>
          <w:numId w:val="0"/>
        </w:numPr>
        <w:spacing w:line="360" w:lineRule="auto"/>
        <w:ind w:firstLineChars="200" w:firstLine="640"/>
        <w:outlineLvl w:val="2"/>
        <w:rPr>
          <w:rFonts w:ascii="楷体" w:eastAsia="楷体" w:hAnsi="楷体" w:cs="楷体"/>
          <w:sz w:val="32"/>
          <w:szCs w:val="32"/>
        </w:rPr>
      </w:pPr>
      <w:r>
        <w:rPr>
          <w:rFonts w:ascii="楷体" w:eastAsia="楷体" w:hAnsi="楷体" w:cs="楷体" w:hint="eastAsia"/>
          <w:sz w:val="32"/>
          <w:szCs w:val="32"/>
        </w:rPr>
        <w:t>（一）机构与人员</w:t>
      </w:r>
    </w:p>
    <w:p w:rsidR="000C025A" w:rsidRDefault="007901CF">
      <w:pPr>
        <w:spacing w:line="360" w:lineRule="auto"/>
        <w:ind w:firstLineChars="200" w:firstLine="636"/>
        <w:rPr>
          <w:rFonts w:ascii="仿宋" w:eastAsia="仿宋" w:hAnsi="仿宋" w:cs="Arial"/>
          <w:color w:val="000000"/>
          <w:spacing w:val="-1"/>
          <w:sz w:val="32"/>
          <w:szCs w:val="28"/>
        </w:rPr>
      </w:pPr>
      <w:r>
        <w:rPr>
          <w:rFonts w:ascii="仿宋" w:eastAsia="仿宋" w:hAnsi="仿宋" w:cs="Arial" w:hint="eastAsia"/>
          <w:color w:val="000000"/>
          <w:spacing w:val="-1"/>
          <w:sz w:val="32"/>
          <w:szCs w:val="28"/>
        </w:rPr>
        <w:t>企业对从事影响产品质量的工作人员，特别是产品设计开发人员、从事关键工序和特殊过程的生产人员、安装人员、检验人员、检测和运行维护人员等，应当经过与其岗位要求相适应的培训，具有相关理论知识和实际操作技能。</w:t>
      </w:r>
    </w:p>
    <w:p w:rsidR="000C025A" w:rsidRDefault="007901CF">
      <w:pPr>
        <w:spacing w:line="360" w:lineRule="auto"/>
        <w:ind w:firstLineChars="200" w:firstLine="636"/>
        <w:rPr>
          <w:rFonts w:ascii="仿宋" w:eastAsia="仿宋" w:hAnsi="仿宋" w:cs="Arial"/>
          <w:color w:val="000000"/>
          <w:spacing w:val="-1"/>
          <w:sz w:val="32"/>
          <w:szCs w:val="28"/>
        </w:rPr>
      </w:pPr>
      <w:r>
        <w:rPr>
          <w:rFonts w:ascii="仿宋" w:eastAsia="仿宋" w:hAnsi="仿宋" w:cs="Arial" w:hint="eastAsia"/>
          <w:color w:val="000000"/>
          <w:spacing w:val="-1"/>
          <w:sz w:val="32"/>
          <w:szCs w:val="28"/>
        </w:rPr>
        <w:t>1.人员能力方面</w:t>
      </w:r>
    </w:p>
    <w:p w:rsidR="000C025A" w:rsidRDefault="007901CF" w:rsidP="00DF25B1">
      <w:pPr>
        <w:pStyle w:val="a"/>
      </w:pPr>
      <w:r>
        <w:rPr>
          <w:rFonts w:hint="eastAsia"/>
        </w:rPr>
        <w:t>设计人员：企业应配备双散射束流配送系统机械设计、</w:t>
      </w:r>
      <w:r>
        <w:rPr>
          <w:rFonts w:hint="eastAsia"/>
        </w:rPr>
        <w:lastRenderedPageBreak/>
        <w:t>双散射技术和扫描技术、电气设计、底层控制软件、了解临床使用场景和医疗流程及风险管理相关要求等技术人员。</w:t>
      </w:r>
    </w:p>
    <w:p w:rsidR="000C025A" w:rsidRDefault="007901CF" w:rsidP="00DF25B1">
      <w:pPr>
        <w:pStyle w:val="a"/>
      </w:pPr>
      <w:r>
        <w:rPr>
          <w:rFonts w:hint="eastAsia"/>
        </w:rPr>
        <w:t>生产人员：企业应配备双散射束流配送系统射程调节器、第二散射片、射程调制轮、剂量监测电离室、准直器、补偿器等核心部件的工艺设计、加工和装配人员。</w:t>
      </w:r>
    </w:p>
    <w:p w:rsidR="000C025A" w:rsidRDefault="007901CF" w:rsidP="00DF25B1">
      <w:pPr>
        <w:pStyle w:val="a"/>
      </w:pPr>
      <w:r>
        <w:rPr>
          <w:rFonts w:hint="eastAsia"/>
        </w:rPr>
        <w:t>安装人员：</w:t>
      </w:r>
    </w:p>
    <w:p w:rsidR="000C025A" w:rsidRPr="0066244F" w:rsidRDefault="007901CF" w:rsidP="0066244F">
      <w:pPr>
        <w:ind w:firstLineChars="200" w:firstLine="636"/>
        <w:rPr>
          <w:rFonts w:ascii="仿宋" w:eastAsia="仿宋" w:hAnsi="仿宋" w:cs="Arial"/>
          <w:color w:val="000000"/>
          <w:spacing w:val="-1"/>
          <w:sz w:val="32"/>
          <w:szCs w:val="28"/>
        </w:rPr>
      </w:pPr>
      <w:r w:rsidRPr="0066244F">
        <w:rPr>
          <w:rFonts w:ascii="仿宋" w:eastAsia="仿宋" w:hAnsi="仿宋" w:cs="Arial" w:hint="eastAsia"/>
          <w:color w:val="000000"/>
          <w:spacing w:val="-1"/>
          <w:sz w:val="32"/>
          <w:szCs w:val="28"/>
        </w:rPr>
        <w:t>①企业应配备</w:t>
      </w:r>
      <w:proofErr w:type="gramStart"/>
      <w:r w:rsidRPr="0066244F">
        <w:rPr>
          <w:rFonts w:ascii="仿宋" w:eastAsia="仿宋" w:hAnsi="仿宋" w:cs="Arial" w:hint="eastAsia"/>
          <w:color w:val="000000"/>
          <w:spacing w:val="-1"/>
          <w:sz w:val="32"/>
          <w:szCs w:val="28"/>
        </w:rPr>
        <w:t>熟悉双</w:t>
      </w:r>
      <w:proofErr w:type="gramEnd"/>
      <w:r w:rsidRPr="0066244F">
        <w:rPr>
          <w:rFonts w:ascii="仿宋" w:eastAsia="仿宋" w:hAnsi="仿宋" w:cs="Arial" w:hint="eastAsia"/>
          <w:color w:val="000000"/>
          <w:spacing w:val="-1"/>
          <w:sz w:val="32"/>
          <w:szCs w:val="28"/>
        </w:rPr>
        <w:t>散射束流配送系统各部件结构、安装方法、安装工艺的安装人员。</w:t>
      </w:r>
    </w:p>
    <w:p w:rsidR="000C025A" w:rsidRPr="0066244F" w:rsidRDefault="007901CF" w:rsidP="0066244F">
      <w:pPr>
        <w:ind w:left="636"/>
        <w:rPr>
          <w:rFonts w:ascii="仿宋" w:eastAsia="仿宋" w:hAnsi="仿宋" w:cs="Arial"/>
          <w:color w:val="000000"/>
          <w:spacing w:val="-1"/>
          <w:sz w:val="32"/>
          <w:szCs w:val="28"/>
        </w:rPr>
      </w:pPr>
      <w:r w:rsidRPr="0066244F">
        <w:rPr>
          <w:rFonts w:ascii="仿宋" w:eastAsia="仿宋" w:hAnsi="仿宋" w:cs="Arial" w:hint="eastAsia"/>
          <w:color w:val="000000"/>
          <w:spacing w:val="-1"/>
          <w:sz w:val="32"/>
          <w:szCs w:val="28"/>
        </w:rPr>
        <w:t>②企业应配备持有叉车、行车等特种作业资格证的人员。</w:t>
      </w:r>
    </w:p>
    <w:p w:rsidR="000C025A" w:rsidRDefault="007901CF" w:rsidP="00DF25B1">
      <w:pPr>
        <w:pStyle w:val="a"/>
      </w:pPr>
      <w:r>
        <w:rPr>
          <w:rFonts w:hint="eastAsia"/>
        </w:rPr>
        <w:t>检验人员：</w:t>
      </w:r>
    </w:p>
    <w:p w:rsidR="000C025A" w:rsidRPr="0066244F" w:rsidRDefault="007901CF" w:rsidP="0066244F">
      <w:pPr>
        <w:ind w:firstLineChars="200" w:firstLine="636"/>
        <w:rPr>
          <w:rFonts w:ascii="仿宋" w:eastAsia="仿宋" w:hAnsi="仿宋" w:cs="Arial"/>
          <w:color w:val="000000"/>
          <w:spacing w:val="-1"/>
          <w:sz w:val="32"/>
          <w:szCs w:val="28"/>
        </w:rPr>
      </w:pPr>
      <w:r w:rsidRPr="0066244F">
        <w:rPr>
          <w:rFonts w:ascii="仿宋" w:eastAsia="仿宋" w:hAnsi="仿宋" w:cs="Arial" w:hint="eastAsia"/>
          <w:color w:val="000000"/>
          <w:spacing w:val="-1"/>
          <w:sz w:val="32"/>
          <w:szCs w:val="28"/>
        </w:rPr>
        <w:t>企业从事检验的人员岗位职责应覆盖双散射束流配送系统来料、过程检验等过程，应熟悉相关检验标准，为专职人员。</w:t>
      </w:r>
    </w:p>
    <w:p w:rsidR="000C025A" w:rsidRDefault="007901CF" w:rsidP="00DF25B1">
      <w:pPr>
        <w:pStyle w:val="a"/>
      </w:pPr>
      <w:r>
        <w:rPr>
          <w:rFonts w:hint="eastAsia"/>
        </w:rPr>
        <w:t>检测人员：</w:t>
      </w:r>
    </w:p>
    <w:p w:rsidR="000C025A" w:rsidRPr="0066244F" w:rsidRDefault="007901CF" w:rsidP="0066244F">
      <w:pPr>
        <w:ind w:left="636"/>
        <w:rPr>
          <w:rFonts w:ascii="仿宋" w:eastAsia="仿宋" w:hAnsi="仿宋" w:cs="Arial"/>
          <w:color w:val="000000"/>
          <w:spacing w:val="-1"/>
          <w:sz w:val="32"/>
          <w:szCs w:val="28"/>
        </w:rPr>
      </w:pPr>
      <w:r w:rsidRPr="0066244F">
        <w:rPr>
          <w:rFonts w:ascii="仿宋" w:eastAsia="仿宋" w:hAnsi="仿宋" w:cs="Arial" w:hint="eastAsia"/>
          <w:color w:val="000000"/>
          <w:spacing w:val="-1"/>
          <w:sz w:val="32"/>
          <w:szCs w:val="28"/>
        </w:rPr>
        <w:t>①企业应配备电气安全等专职检验人员；</w:t>
      </w:r>
    </w:p>
    <w:p w:rsidR="000C025A" w:rsidRPr="0066244F" w:rsidRDefault="007901CF" w:rsidP="0066244F">
      <w:pPr>
        <w:ind w:firstLineChars="200" w:firstLine="636"/>
        <w:rPr>
          <w:rFonts w:ascii="仿宋" w:eastAsia="仿宋" w:hAnsi="仿宋" w:cs="Arial"/>
          <w:color w:val="000000"/>
          <w:spacing w:val="-1"/>
          <w:sz w:val="32"/>
          <w:szCs w:val="28"/>
        </w:rPr>
      </w:pPr>
      <w:r w:rsidRPr="0066244F">
        <w:rPr>
          <w:rFonts w:ascii="仿宋" w:eastAsia="仿宋" w:hAnsi="仿宋" w:cs="Arial" w:hint="eastAsia"/>
          <w:color w:val="000000"/>
          <w:spacing w:val="-1"/>
          <w:sz w:val="32"/>
          <w:szCs w:val="28"/>
        </w:rPr>
        <w:t xml:space="preserve">②企业从事检测、出具报告、审核和批准检测结果的人员应具备相应专业的检测基础理论和专业知识，熟悉医疗器械相关法律法规、标准、技术要求、检验方法及仪器操作方法。 </w:t>
      </w:r>
    </w:p>
    <w:p w:rsidR="000C025A" w:rsidRDefault="007901CF" w:rsidP="00DF25B1">
      <w:pPr>
        <w:pStyle w:val="a"/>
      </w:pPr>
      <w:r>
        <w:rPr>
          <w:rFonts w:hint="eastAsia"/>
        </w:rPr>
        <w:t>调试、运维人员：</w:t>
      </w:r>
    </w:p>
    <w:p w:rsidR="000C025A" w:rsidRPr="0066244F" w:rsidRDefault="007901CF" w:rsidP="0066244F">
      <w:pPr>
        <w:ind w:left="636"/>
        <w:rPr>
          <w:rFonts w:ascii="仿宋" w:eastAsia="仿宋" w:hAnsi="仿宋" w:cs="Arial"/>
          <w:color w:val="000000"/>
          <w:spacing w:val="-1"/>
          <w:sz w:val="32"/>
          <w:szCs w:val="28"/>
        </w:rPr>
      </w:pPr>
      <w:r w:rsidRPr="0066244F">
        <w:rPr>
          <w:rFonts w:ascii="仿宋" w:eastAsia="仿宋" w:hAnsi="仿宋" w:cs="Arial" w:hint="eastAsia"/>
          <w:color w:val="000000"/>
          <w:spacing w:val="-1"/>
          <w:sz w:val="32"/>
          <w:szCs w:val="28"/>
        </w:rPr>
        <w:t>①应具备双散射束流配系统调试的能力；</w:t>
      </w:r>
    </w:p>
    <w:p w:rsidR="000C025A" w:rsidRPr="0066244F" w:rsidRDefault="007901CF" w:rsidP="0066244F">
      <w:pPr>
        <w:ind w:left="636"/>
        <w:rPr>
          <w:rFonts w:ascii="仿宋" w:eastAsia="仿宋" w:hAnsi="仿宋" w:cs="Arial"/>
          <w:color w:val="000000"/>
          <w:spacing w:val="-1"/>
          <w:sz w:val="32"/>
          <w:szCs w:val="28"/>
        </w:rPr>
      </w:pPr>
      <w:r w:rsidRPr="0066244F">
        <w:rPr>
          <w:rFonts w:ascii="仿宋" w:eastAsia="仿宋" w:hAnsi="仿宋" w:cs="Arial" w:hint="eastAsia"/>
          <w:color w:val="000000"/>
          <w:spacing w:val="-1"/>
          <w:sz w:val="32"/>
          <w:szCs w:val="28"/>
        </w:rPr>
        <w:lastRenderedPageBreak/>
        <w:t>②应具备故障诊断及检修的能力；</w:t>
      </w:r>
    </w:p>
    <w:p w:rsidR="000C025A" w:rsidRPr="0066244F" w:rsidRDefault="007901CF" w:rsidP="0066244F">
      <w:pPr>
        <w:ind w:left="636"/>
        <w:rPr>
          <w:rFonts w:ascii="仿宋" w:eastAsia="仿宋" w:hAnsi="仿宋" w:cs="Arial"/>
          <w:color w:val="000000"/>
          <w:spacing w:val="-1"/>
          <w:sz w:val="32"/>
          <w:szCs w:val="28"/>
        </w:rPr>
      </w:pPr>
      <w:r w:rsidRPr="0066244F">
        <w:rPr>
          <w:rFonts w:ascii="仿宋" w:eastAsia="仿宋" w:hAnsi="仿宋" w:cs="Arial" w:hint="eastAsia"/>
          <w:color w:val="000000"/>
          <w:spacing w:val="-1"/>
          <w:sz w:val="32"/>
          <w:szCs w:val="28"/>
        </w:rPr>
        <w:t>③应具备突发故障应急处置的能力。</w:t>
      </w:r>
    </w:p>
    <w:p w:rsidR="000C025A" w:rsidRDefault="007901CF">
      <w:pPr>
        <w:spacing w:line="360" w:lineRule="auto"/>
        <w:ind w:firstLineChars="200" w:firstLine="636"/>
        <w:rPr>
          <w:rFonts w:ascii="仿宋" w:eastAsia="仿宋" w:hAnsi="仿宋" w:cs="Arial"/>
          <w:color w:val="000000"/>
          <w:spacing w:val="-1"/>
          <w:sz w:val="32"/>
          <w:szCs w:val="28"/>
        </w:rPr>
      </w:pPr>
      <w:r>
        <w:rPr>
          <w:rFonts w:ascii="仿宋" w:eastAsia="仿宋" w:hAnsi="仿宋" w:cs="Arial" w:hint="eastAsia"/>
          <w:color w:val="000000"/>
          <w:spacing w:val="-1"/>
          <w:sz w:val="32"/>
          <w:szCs w:val="28"/>
        </w:rPr>
        <w:t>2.人员培训：企业应对从事生产、安装、调试、检验、检测、运行维护等岗位人员制定培训制度。培训内容是否包括相关法律法规、基础理论知识、专业操作技能、过程质量控制及质量检验等，双散射束流配系统的安装及调试操作规程、检验操作规程等。</w:t>
      </w:r>
    </w:p>
    <w:p w:rsidR="000C025A" w:rsidRDefault="007901CF">
      <w:pPr>
        <w:numPr>
          <w:ilvl w:val="255"/>
          <w:numId w:val="0"/>
        </w:numPr>
        <w:spacing w:line="360" w:lineRule="auto"/>
        <w:ind w:firstLineChars="200" w:firstLine="640"/>
        <w:outlineLvl w:val="2"/>
        <w:rPr>
          <w:rFonts w:ascii="楷体" w:eastAsia="楷体" w:hAnsi="楷体" w:cs="楷体"/>
          <w:sz w:val="32"/>
          <w:szCs w:val="32"/>
        </w:rPr>
      </w:pPr>
      <w:r>
        <w:rPr>
          <w:rFonts w:ascii="楷体" w:eastAsia="楷体" w:hAnsi="楷体" w:cs="楷体" w:hint="eastAsia"/>
          <w:sz w:val="32"/>
          <w:szCs w:val="32"/>
        </w:rPr>
        <w:t>（二）厂房与设施</w:t>
      </w:r>
    </w:p>
    <w:p w:rsidR="000C025A" w:rsidRDefault="007901CF">
      <w:pPr>
        <w:widowControl/>
        <w:spacing w:line="360" w:lineRule="auto"/>
        <w:ind w:firstLineChars="200" w:firstLine="640"/>
        <w:rPr>
          <w:rFonts w:ascii="仿宋_GB2312" w:eastAsia="仿宋_GB2312" w:hAnsi="仿宋" w:cs="Times New Roman"/>
          <w:bCs/>
          <w:sz w:val="28"/>
          <w:szCs w:val="28"/>
        </w:rPr>
      </w:pPr>
      <w:r>
        <w:rPr>
          <w:rFonts w:ascii="仿宋_GB2312" w:eastAsia="仿宋_GB2312" w:hAnsi="Arial" w:cs="Arial" w:hint="eastAsia"/>
          <w:color w:val="000000"/>
          <w:kern w:val="0"/>
          <w:sz w:val="32"/>
          <w:szCs w:val="28"/>
        </w:rPr>
        <w:t>此部分内容参见总则要求。</w:t>
      </w:r>
    </w:p>
    <w:p w:rsidR="000C025A" w:rsidRDefault="007901CF">
      <w:pPr>
        <w:numPr>
          <w:ilvl w:val="255"/>
          <w:numId w:val="0"/>
        </w:numPr>
        <w:spacing w:line="360" w:lineRule="auto"/>
        <w:ind w:firstLineChars="200" w:firstLine="640"/>
        <w:outlineLvl w:val="2"/>
        <w:rPr>
          <w:rFonts w:ascii="楷体" w:eastAsia="楷体" w:hAnsi="楷体" w:cs="楷体"/>
          <w:sz w:val="32"/>
          <w:szCs w:val="32"/>
        </w:rPr>
      </w:pPr>
      <w:r>
        <w:rPr>
          <w:rFonts w:ascii="楷体" w:eastAsia="楷体" w:hAnsi="楷体" w:cs="楷体" w:hint="eastAsia"/>
          <w:sz w:val="32"/>
          <w:szCs w:val="32"/>
        </w:rPr>
        <w:t>（三）设备</w:t>
      </w:r>
    </w:p>
    <w:p w:rsidR="000C025A" w:rsidRDefault="007901CF">
      <w:pPr>
        <w:spacing w:line="360" w:lineRule="auto"/>
        <w:ind w:firstLineChars="200" w:firstLine="636"/>
        <w:rPr>
          <w:rFonts w:ascii="仿宋" w:eastAsia="仿宋" w:hAnsi="仿宋" w:cs="Arial"/>
          <w:color w:val="000000"/>
          <w:spacing w:val="-1"/>
          <w:sz w:val="32"/>
          <w:szCs w:val="28"/>
        </w:rPr>
      </w:pPr>
      <w:r>
        <w:rPr>
          <w:rFonts w:ascii="仿宋" w:eastAsia="仿宋" w:hAnsi="仿宋" w:cs="Arial" w:hint="eastAsia"/>
          <w:color w:val="000000"/>
          <w:spacing w:val="-1"/>
          <w:sz w:val="32"/>
          <w:szCs w:val="28"/>
        </w:rPr>
        <w:t>企业应当配备与其相匹配的生产设备、工艺装备、检验仪器和设备及计量器具，并加强其验证、检查、维护保养和检定/校准，确保有效运行。</w:t>
      </w:r>
    </w:p>
    <w:p w:rsidR="000C025A" w:rsidRDefault="007901CF">
      <w:pPr>
        <w:spacing w:line="360" w:lineRule="auto"/>
        <w:ind w:firstLineChars="200" w:firstLine="636"/>
        <w:rPr>
          <w:rFonts w:ascii="仿宋" w:eastAsia="仿宋" w:hAnsi="仿宋" w:cs="Arial"/>
          <w:color w:val="000000"/>
          <w:spacing w:val="-1"/>
          <w:sz w:val="32"/>
          <w:szCs w:val="28"/>
        </w:rPr>
      </w:pPr>
      <w:r>
        <w:rPr>
          <w:rFonts w:ascii="仿宋" w:eastAsia="仿宋" w:hAnsi="仿宋" w:cs="Arial" w:hint="eastAsia"/>
          <w:color w:val="000000"/>
          <w:spacing w:val="-1"/>
          <w:sz w:val="32"/>
          <w:szCs w:val="28"/>
        </w:rPr>
        <w:t>1.生产设备</w:t>
      </w:r>
    </w:p>
    <w:p w:rsidR="000C025A" w:rsidRDefault="007901CF" w:rsidP="00DF25B1">
      <w:pPr>
        <w:pStyle w:val="a"/>
      </w:pPr>
      <w:r>
        <w:rPr>
          <w:rFonts w:hint="eastAsia"/>
        </w:rPr>
        <w:t>生产设备：一般包括游标卡尺、千分尺、塞尺、角度仪、螺纹塞规、数字万用表，高精度加工中心等。</w:t>
      </w:r>
    </w:p>
    <w:p w:rsidR="000C025A" w:rsidRDefault="007901CF" w:rsidP="00DF25B1">
      <w:pPr>
        <w:pStyle w:val="a"/>
      </w:pPr>
      <w:r>
        <w:rPr>
          <w:rFonts w:hint="eastAsia"/>
        </w:rPr>
        <w:t>安装设备：一般包括激光跟踪仪、液压车、叉车、力矩扳手、螺纹塞规、卡尺测量工具、万用表、电气工具等。</w:t>
      </w:r>
    </w:p>
    <w:p w:rsidR="000C025A" w:rsidRDefault="007901CF">
      <w:pPr>
        <w:numPr>
          <w:ilvl w:val="0"/>
          <w:numId w:val="7"/>
        </w:numPr>
        <w:spacing w:line="360" w:lineRule="auto"/>
        <w:ind w:firstLineChars="200" w:firstLine="636"/>
        <w:rPr>
          <w:rFonts w:ascii="仿宋" w:eastAsia="仿宋" w:hAnsi="仿宋" w:cs="Arial"/>
          <w:color w:val="000000"/>
          <w:sz w:val="32"/>
          <w:szCs w:val="32"/>
        </w:rPr>
      </w:pPr>
      <w:r>
        <w:rPr>
          <w:rFonts w:ascii="仿宋" w:eastAsia="仿宋" w:hAnsi="仿宋" w:cs="Arial" w:hint="eastAsia"/>
          <w:color w:val="000000"/>
          <w:spacing w:val="-1"/>
          <w:sz w:val="32"/>
          <w:szCs w:val="28"/>
        </w:rPr>
        <w:t>检验和检测设备：一般包括万用表、钳形表、功率计、激光跟踪仪、耐压测试仪、漏电流测试仪、接地阻抗测试仪等。</w:t>
      </w:r>
    </w:p>
    <w:p w:rsidR="000C025A" w:rsidRDefault="007901CF">
      <w:pPr>
        <w:numPr>
          <w:ilvl w:val="0"/>
          <w:numId w:val="7"/>
        </w:num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企业应建立监视测量设备相关管理程序文件，应对设</w:t>
      </w:r>
      <w:r>
        <w:rPr>
          <w:rFonts w:ascii="仿宋" w:eastAsia="仿宋" w:hAnsi="仿宋" w:cs="Arial" w:hint="eastAsia"/>
          <w:color w:val="000000"/>
          <w:sz w:val="32"/>
          <w:szCs w:val="32"/>
        </w:rPr>
        <w:lastRenderedPageBreak/>
        <w:t>备的采购、检定/校准、使用、维护保养等方面进行规定，并按照规定执行。</w:t>
      </w:r>
    </w:p>
    <w:p w:rsidR="000C025A" w:rsidRDefault="007901CF">
      <w:pPr>
        <w:numPr>
          <w:ilvl w:val="0"/>
          <w:numId w:val="7"/>
        </w:num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企业应配备满足检测活动所需的监视测量设备，主要仪器和设备应具有明确的操作规程，并形成使用记录。</w:t>
      </w:r>
    </w:p>
    <w:p w:rsidR="000C025A" w:rsidRDefault="007901CF">
      <w:pPr>
        <w:numPr>
          <w:ilvl w:val="0"/>
          <w:numId w:val="7"/>
        </w:num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企业应建立监视测量设备台账，应制定设备检定/校准周期和年度检定/校准计划。</w:t>
      </w:r>
    </w:p>
    <w:p w:rsidR="000C025A" w:rsidRDefault="007901CF">
      <w:pPr>
        <w:numPr>
          <w:ilvl w:val="0"/>
          <w:numId w:val="7"/>
        </w:numPr>
        <w:spacing w:line="360" w:lineRule="auto"/>
        <w:ind w:firstLineChars="200" w:firstLine="640"/>
        <w:rPr>
          <w:rFonts w:ascii="仿宋" w:eastAsia="仿宋" w:hAnsi="仿宋" w:cs="Arial"/>
          <w:color w:val="000000"/>
          <w:spacing w:val="-1"/>
          <w:sz w:val="32"/>
          <w:szCs w:val="28"/>
        </w:rPr>
      </w:pPr>
      <w:r>
        <w:rPr>
          <w:rFonts w:ascii="仿宋" w:eastAsia="仿宋" w:hAnsi="仿宋" w:cs="Arial" w:hint="eastAsia"/>
          <w:color w:val="000000"/>
          <w:sz w:val="32"/>
          <w:szCs w:val="32"/>
        </w:rPr>
        <w:t>企业应对关键监视测量设备在长距离搬运、送校前、送校后进行功能核查，应满足使用要求。</w:t>
      </w:r>
    </w:p>
    <w:p w:rsidR="000C025A" w:rsidRDefault="007901CF">
      <w:pPr>
        <w:numPr>
          <w:ilvl w:val="0"/>
          <w:numId w:val="7"/>
        </w:numPr>
        <w:spacing w:line="360" w:lineRule="auto"/>
        <w:ind w:firstLineChars="200" w:firstLine="640"/>
        <w:rPr>
          <w:rFonts w:ascii="仿宋" w:eastAsia="仿宋" w:hAnsi="仿宋" w:cs="Arial"/>
          <w:color w:val="000000"/>
          <w:spacing w:val="-1"/>
          <w:sz w:val="32"/>
          <w:szCs w:val="28"/>
        </w:rPr>
      </w:pPr>
      <w:r>
        <w:rPr>
          <w:rFonts w:ascii="仿宋" w:eastAsia="仿宋" w:hAnsi="仿宋" w:cs="Arial" w:hint="eastAsia"/>
          <w:color w:val="000000"/>
          <w:sz w:val="32"/>
          <w:szCs w:val="32"/>
        </w:rPr>
        <w:t>企业对不满足使用要求的检验仪器和设备，应对过往检验结果进行有效性评价，并保存评价记录。</w:t>
      </w:r>
    </w:p>
    <w:p w:rsidR="000C025A" w:rsidRDefault="007901CF">
      <w:pPr>
        <w:numPr>
          <w:ilvl w:val="255"/>
          <w:numId w:val="0"/>
        </w:numPr>
        <w:spacing w:line="360" w:lineRule="auto"/>
        <w:ind w:firstLineChars="200" w:firstLine="640"/>
        <w:outlineLvl w:val="2"/>
        <w:rPr>
          <w:rFonts w:ascii="楷体" w:eastAsia="楷体" w:hAnsi="楷体" w:cs="楷体"/>
          <w:sz w:val="32"/>
          <w:szCs w:val="32"/>
        </w:rPr>
      </w:pPr>
      <w:r>
        <w:rPr>
          <w:rFonts w:ascii="楷体" w:eastAsia="楷体" w:hAnsi="楷体" w:cs="楷体" w:hint="eastAsia"/>
          <w:sz w:val="32"/>
          <w:szCs w:val="32"/>
        </w:rPr>
        <w:t>（四）文件管理</w:t>
      </w:r>
    </w:p>
    <w:p w:rsidR="000C025A" w:rsidRDefault="007901CF">
      <w:pPr>
        <w:spacing w:line="360" w:lineRule="auto"/>
        <w:ind w:firstLineChars="200" w:firstLine="640"/>
        <w:rPr>
          <w:rFonts w:ascii="仿宋" w:eastAsia="仿宋" w:hAnsi="仿宋" w:cs="Times New Roman"/>
          <w:bCs/>
          <w:sz w:val="28"/>
          <w:szCs w:val="28"/>
        </w:rPr>
      </w:pPr>
      <w:r>
        <w:rPr>
          <w:rFonts w:ascii="仿宋" w:eastAsia="仿宋" w:hAnsi="仿宋" w:cs="Arial" w:hint="eastAsia"/>
          <w:color w:val="000000"/>
          <w:kern w:val="0"/>
          <w:sz w:val="32"/>
          <w:szCs w:val="28"/>
        </w:rPr>
        <w:t>此部分内容参见总则要求。</w:t>
      </w:r>
    </w:p>
    <w:p w:rsidR="000C025A" w:rsidRDefault="007901CF">
      <w:pPr>
        <w:numPr>
          <w:ilvl w:val="255"/>
          <w:numId w:val="0"/>
        </w:numPr>
        <w:spacing w:line="360" w:lineRule="auto"/>
        <w:ind w:firstLineChars="200" w:firstLine="640"/>
        <w:outlineLvl w:val="2"/>
        <w:rPr>
          <w:rFonts w:ascii="楷体" w:eastAsia="楷体" w:hAnsi="楷体" w:cs="楷体"/>
          <w:sz w:val="32"/>
          <w:szCs w:val="32"/>
        </w:rPr>
      </w:pPr>
      <w:r>
        <w:rPr>
          <w:rFonts w:ascii="楷体" w:eastAsia="楷体" w:hAnsi="楷体" w:cs="楷体" w:hint="eastAsia"/>
          <w:sz w:val="32"/>
          <w:szCs w:val="32"/>
        </w:rPr>
        <w:t>（五）设计开发</w:t>
      </w:r>
    </w:p>
    <w:p w:rsidR="000C025A" w:rsidRDefault="007901CF">
      <w:pPr>
        <w:spacing w:line="360" w:lineRule="auto"/>
        <w:ind w:firstLineChars="200" w:firstLine="640"/>
        <w:rPr>
          <w:rFonts w:ascii="仿宋_GB2312" w:eastAsia="仿宋_GB2312" w:hAnsi="Arial" w:cs="Arial"/>
          <w:color w:val="000000"/>
          <w:spacing w:val="-1"/>
          <w:sz w:val="32"/>
          <w:szCs w:val="28"/>
        </w:rPr>
      </w:pPr>
      <w:r>
        <w:rPr>
          <w:rFonts w:ascii="仿宋" w:eastAsia="仿宋" w:hAnsi="仿宋" w:cs="Arial" w:hint="eastAsia"/>
          <w:color w:val="000000"/>
          <w:sz w:val="32"/>
          <w:szCs w:val="32"/>
        </w:rPr>
        <w:t>企业应当建立设计和开发控制程序并形成文件，对产品设计和开发过程实施策划和控制，应当确定设计和开发的阶段及对各阶段的评审、验证、确认等活动。</w:t>
      </w:r>
    </w:p>
    <w:p w:rsidR="000C025A" w:rsidRDefault="007901CF">
      <w:pPr>
        <w:spacing w:line="360" w:lineRule="auto"/>
        <w:ind w:firstLineChars="200" w:firstLine="636"/>
        <w:rPr>
          <w:rFonts w:ascii="仿宋_GB2312" w:eastAsia="仿宋_GB2312" w:hAnsi="Arial" w:cs="Arial"/>
          <w:color w:val="000000"/>
          <w:spacing w:val="-1"/>
          <w:sz w:val="32"/>
          <w:szCs w:val="28"/>
        </w:rPr>
      </w:pPr>
      <w:r>
        <w:rPr>
          <w:rFonts w:ascii="仿宋_GB2312" w:eastAsia="仿宋_GB2312" w:hAnsi="Arial" w:cs="Arial" w:hint="eastAsia"/>
          <w:color w:val="000000"/>
          <w:spacing w:val="-1"/>
          <w:sz w:val="32"/>
          <w:szCs w:val="28"/>
        </w:rPr>
        <w:t>1.设计输入</w:t>
      </w:r>
    </w:p>
    <w:p w:rsidR="000C025A" w:rsidRDefault="007901CF">
      <w:pPr>
        <w:spacing w:line="360" w:lineRule="auto"/>
        <w:ind w:firstLineChars="200" w:firstLine="636"/>
        <w:rPr>
          <w:rFonts w:ascii="仿宋_GB2312" w:eastAsia="仿宋_GB2312" w:hAnsi="Arial" w:cs="Arial"/>
          <w:color w:val="000000"/>
          <w:spacing w:val="-1"/>
          <w:sz w:val="32"/>
          <w:szCs w:val="28"/>
        </w:rPr>
      </w:pPr>
      <w:r>
        <w:rPr>
          <w:rFonts w:ascii="仿宋" w:eastAsia="仿宋" w:hAnsi="仿宋" w:cs="Arial" w:hint="eastAsia"/>
          <w:color w:val="000000"/>
          <w:spacing w:val="-1"/>
          <w:sz w:val="32"/>
          <w:szCs w:val="28"/>
        </w:rPr>
        <w:t>设计开发的输入应明确设计开发产品的设计需求、安全性能、使用性能和法律法规要求及针对风险应采取的控制措施。双散射束流配送系统的设计要求可参考相关国家标准、行业标准。如：可行性分</w:t>
      </w:r>
      <w:r>
        <w:rPr>
          <w:rFonts w:ascii="仿宋" w:eastAsia="仿宋" w:hAnsi="仿宋" w:cs="微软雅黑" w:hint="eastAsia"/>
          <w:color w:val="000000"/>
          <w:spacing w:val="-1"/>
          <w:sz w:val="32"/>
          <w:szCs w:val="28"/>
        </w:rPr>
        <w:t>析</w:t>
      </w:r>
      <w:r>
        <w:rPr>
          <w:rFonts w:ascii="仿宋" w:eastAsia="仿宋" w:hAnsi="仿宋" w:cs="Arial" w:hint="eastAsia"/>
          <w:color w:val="000000"/>
          <w:spacing w:val="-1"/>
          <w:sz w:val="32"/>
          <w:szCs w:val="28"/>
        </w:rPr>
        <w:t>报告、需求规格书、双散射束流配送系统设计方案、控制软件系统描述等。</w:t>
      </w:r>
    </w:p>
    <w:p w:rsidR="000C025A" w:rsidRDefault="007901CF">
      <w:pPr>
        <w:spacing w:line="360" w:lineRule="auto"/>
        <w:ind w:firstLineChars="200" w:firstLine="636"/>
        <w:rPr>
          <w:rFonts w:ascii="仿宋_GB2312" w:eastAsia="仿宋_GB2312" w:hAnsi="Arial" w:cs="Arial"/>
          <w:color w:val="000000"/>
          <w:spacing w:val="-1"/>
          <w:sz w:val="32"/>
          <w:szCs w:val="28"/>
        </w:rPr>
      </w:pPr>
      <w:r>
        <w:rPr>
          <w:rFonts w:ascii="仿宋_GB2312" w:eastAsia="仿宋_GB2312" w:hAnsi="Arial" w:cs="Arial" w:hint="eastAsia"/>
          <w:color w:val="000000"/>
          <w:spacing w:val="-1"/>
          <w:sz w:val="32"/>
          <w:szCs w:val="28"/>
        </w:rPr>
        <w:lastRenderedPageBreak/>
        <w:t>2.设计输出</w:t>
      </w:r>
    </w:p>
    <w:p w:rsidR="000C025A" w:rsidRDefault="007901CF">
      <w:pPr>
        <w:spacing w:line="360" w:lineRule="auto"/>
        <w:ind w:firstLineChars="200" w:firstLine="636"/>
        <w:rPr>
          <w:rFonts w:ascii="仿宋" w:eastAsia="仿宋" w:hAnsi="仿宋" w:cs="Arial"/>
          <w:color w:val="000000"/>
          <w:spacing w:val="-1"/>
          <w:sz w:val="32"/>
          <w:szCs w:val="28"/>
        </w:rPr>
      </w:pPr>
      <w:r>
        <w:rPr>
          <w:rFonts w:ascii="仿宋" w:eastAsia="仿宋" w:hAnsi="仿宋" w:cs="Arial" w:hint="eastAsia"/>
          <w:color w:val="000000"/>
          <w:spacing w:val="-1"/>
          <w:sz w:val="32"/>
          <w:szCs w:val="28"/>
        </w:rPr>
        <w:t>设计开发输出应满足设计和开发输入的要求，以及符合用户需求和产品设计需求，应当关注产品适用范围、功能性、安全性、有效性和质量可控性。设计和开发输出一般包括：</w:t>
      </w:r>
    </w:p>
    <w:p w:rsidR="00DF25B1" w:rsidRDefault="007901CF" w:rsidP="00DF25B1">
      <w:pPr>
        <w:pStyle w:val="a"/>
      </w:pPr>
      <w:r>
        <w:rPr>
          <w:rFonts w:hint="eastAsia"/>
        </w:rPr>
        <w:t>采购信息，如原材料、组件和部件技术要求等。</w:t>
      </w:r>
    </w:p>
    <w:p w:rsidR="000C025A" w:rsidRDefault="007901CF" w:rsidP="00DF25B1">
      <w:pPr>
        <w:pStyle w:val="a"/>
      </w:pPr>
      <w:r>
        <w:rPr>
          <w:rFonts w:hint="eastAsia"/>
        </w:rPr>
        <w:t>生产和服务所需的信息，如产品图纸、工艺流程图、生产/装配/安装/调试作业指导书、服务手册、环境要求等；</w:t>
      </w:r>
    </w:p>
    <w:p w:rsidR="000C025A" w:rsidRDefault="007901CF" w:rsidP="00DF25B1">
      <w:pPr>
        <w:pStyle w:val="a"/>
      </w:pPr>
      <w:r>
        <w:rPr>
          <w:rFonts w:hint="eastAsia"/>
        </w:rPr>
        <w:t>产品检验作业文件，如双散射束流配送系统安装检验作业指导书；</w:t>
      </w:r>
    </w:p>
    <w:p w:rsidR="000C025A" w:rsidRDefault="007901CF" w:rsidP="00DF25B1">
      <w:pPr>
        <w:pStyle w:val="a"/>
      </w:pPr>
      <w:r>
        <w:rPr>
          <w:rFonts w:hint="eastAsia"/>
        </w:rPr>
        <w:t>产品接收准则，如双散射束流配送系统调试验证作业文件等；</w:t>
      </w:r>
    </w:p>
    <w:p w:rsidR="000C025A" w:rsidRDefault="007901CF" w:rsidP="00DF25B1">
      <w:pPr>
        <w:pStyle w:val="a"/>
      </w:pPr>
      <w:r>
        <w:rPr>
          <w:rFonts w:hint="eastAsia"/>
        </w:rPr>
        <w:t>规定产品安全和正常使用所必须的产品特性，如产品使用说明书、包装和标签要求等。</w:t>
      </w:r>
    </w:p>
    <w:p w:rsidR="000C025A" w:rsidRDefault="007901CF" w:rsidP="00DF25B1">
      <w:pPr>
        <w:pStyle w:val="a"/>
      </w:pPr>
      <w:r>
        <w:rPr>
          <w:rFonts w:hint="eastAsia"/>
        </w:rPr>
        <w:t>标识和</w:t>
      </w:r>
      <w:proofErr w:type="gramStart"/>
      <w:r>
        <w:rPr>
          <w:rFonts w:hint="eastAsia"/>
        </w:rPr>
        <w:t>可</w:t>
      </w:r>
      <w:proofErr w:type="gramEnd"/>
      <w:r>
        <w:rPr>
          <w:rFonts w:hint="eastAsia"/>
        </w:rPr>
        <w:t>追溯性要求等。</w:t>
      </w:r>
    </w:p>
    <w:p w:rsidR="000C025A" w:rsidRDefault="007901CF">
      <w:pPr>
        <w:spacing w:line="360" w:lineRule="auto"/>
        <w:ind w:firstLineChars="200" w:firstLine="636"/>
        <w:rPr>
          <w:rFonts w:ascii="仿宋" w:eastAsia="仿宋" w:hAnsi="仿宋" w:cs="Arial"/>
          <w:color w:val="000000"/>
          <w:spacing w:val="-1"/>
          <w:sz w:val="32"/>
          <w:szCs w:val="28"/>
        </w:rPr>
      </w:pPr>
      <w:r>
        <w:rPr>
          <w:rFonts w:ascii="仿宋" w:eastAsia="仿宋" w:hAnsi="仿宋" w:cs="Arial" w:hint="eastAsia"/>
          <w:color w:val="000000"/>
          <w:spacing w:val="-1"/>
          <w:sz w:val="32"/>
          <w:szCs w:val="28"/>
        </w:rPr>
        <w:t>3.设计验证</w:t>
      </w:r>
    </w:p>
    <w:p w:rsidR="000C025A" w:rsidRDefault="007901CF">
      <w:pPr>
        <w:spacing w:line="360" w:lineRule="auto"/>
        <w:ind w:firstLineChars="200" w:firstLine="636"/>
        <w:rPr>
          <w:rFonts w:ascii="仿宋" w:eastAsia="仿宋" w:hAnsi="仿宋" w:cs="Arial"/>
          <w:color w:val="000000"/>
          <w:spacing w:val="-1"/>
          <w:sz w:val="32"/>
          <w:szCs w:val="28"/>
        </w:rPr>
      </w:pPr>
      <w:r>
        <w:rPr>
          <w:rFonts w:ascii="仿宋" w:eastAsia="仿宋" w:hAnsi="仿宋" w:cs="Arial" w:hint="eastAsia"/>
          <w:color w:val="000000"/>
          <w:spacing w:val="-1"/>
          <w:sz w:val="32"/>
          <w:szCs w:val="28"/>
        </w:rPr>
        <w:t>企业应当基于风险评估结果来确定需进行验证的范围和程度，并确保有关操作的关键要素能够得到有效控制。应当保存设计和开发验证活动的详细原始数据记录资料，包括验证方案、验证报告、验证记录。设计和开发验证一般包括：包含原材料入厂检验验证、生产过程检验验证、现场安装确认验证、双散射束流配送系统的电磁兼容、电气安全测试及性能等检测。</w:t>
      </w:r>
    </w:p>
    <w:p w:rsidR="000C025A" w:rsidRDefault="007901CF">
      <w:pPr>
        <w:numPr>
          <w:ilvl w:val="0"/>
          <w:numId w:val="9"/>
        </w:numPr>
        <w:spacing w:line="360" w:lineRule="auto"/>
        <w:ind w:firstLineChars="200" w:firstLine="636"/>
        <w:rPr>
          <w:rFonts w:ascii="仿宋" w:eastAsia="仿宋" w:hAnsi="仿宋" w:cs="Arial"/>
          <w:color w:val="000000"/>
          <w:spacing w:val="-1"/>
          <w:sz w:val="32"/>
          <w:szCs w:val="28"/>
        </w:rPr>
      </w:pPr>
      <w:r>
        <w:rPr>
          <w:rFonts w:ascii="仿宋" w:eastAsia="仿宋" w:hAnsi="仿宋" w:cs="Arial" w:hint="eastAsia"/>
          <w:color w:val="000000"/>
          <w:spacing w:val="-1"/>
          <w:sz w:val="32"/>
          <w:szCs w:val="28"/>
        </w:rPr>
        <w:lastRenderedPageBreak/>
        <w:t>风险控制</w:t>
      </w:r>
    </w:p>
    <w:p w:rsidR="000C025A" w:rsidRDefault="007901CF">
      <w:pPr>
        <w:numPr>
          <w:ilvl w:val="0"/>
          <w:numId w:val="10"/>
        </w:numPr>
        <w:tabs>
          <w:tab w:val="left" w:pos="993"/>
        </w:tabs>
        <w:spacing w:line="360" w:lineRule="auto"/>
        <w:ind w:left="0" w:firstLine="567"/>
        <w:rPr>
          <w:rFonts w:ascii="仿宋" w:eastAsia="仿宋" w:hAnsi="仿宋" w:cs="Arial"/>
          <w:color w:val="000000"/>
          <w:kern w:val="0"/>
          <w:sz w:val="32"/>
          <w:szCs w:val="32"/>
        </w:rPr>
      </w:pPr>
      <w:r>
        <w:rPr>
          <w:rFonts w:ascii="仿宋" w:eastAsia="仿宋" w:hAnsi="仿宋" w:cs="Arial" w:hint="eastAsia"/>
          <w:color w:val="000000"/>
          <w:kern w:val="0"/>
          <w:sz w:val="32"/>
          <w:szCs w:val="32"/>
        </w:rPr>
        <w:t>产品设计开发过程应当依据风险管理控制程序实施风险管理活动，按照GB/T 42062《医疗器械 风险管理对医疗器械的应用》、GB 9706.1《医用电气设备第1部分:基本安全和基本性能的通用要求》中第4至17章详细规定了医用电气设备的风险管理要求，包括ME设备试验的通用要求、ME设备标识、标记和文件、对电击危险的防护、对机械危险的防护、对超温和其他危险的防护、控制器和仪表的准确性和危险输出的防护、危险情况和故障状态、可编程医用电气系统（PEMS）、ME设备的结构、ME系统、电磁兼容性等条款、《质子/碳离子治疗系统技术审评指导原则》中危害矩阵等要求；制定风险的可接受准则，按要求识别可能存在的风险并进行分析、评价、控制措施贯穿于产品生命周期全过程。双散射束流配送系统主要的风险有束流位置控制、束流位置监测、剂量监测、接口管理等。</w:t>
      </w:r>
    </w:p>
    <w:p w:rsidR="000C025A" w:rsidRDefault="007901CF">
      <w:pPr>
        <w:numPr>
          <w:ilvl w:val="0"/>
          <w:numId w:val="10"/>
        </w:numPr>
        <w:tabs>
          <w:tab w:val="left" w:pos="993"/>
        </w:tabs>
        <w:spacing w:line="360" w:lineRule="auto"/>
        <w:ind w:left="0" w:firstLine="567"/>
        <w:rPr>
          <w:rFonts w:ascii="仿宋" w:eastAsia="仿宋" w:hAnsi="仿宋" w:cs="Arial"/>
          <w:color w:val="000000"/>
          <w:spacing w:val="-1"/>
          <w:sz w:val="32"/>
          <w:szCs w:val="28"/>
        </w:rPr>
      </w:pPr>
      <w:r>
        <w:rPr>
          <w:rFonts w:ascii="仿宋" w:eastAsia="仿宋" w:hAnsi="仿宋" w:cs="Arial" w:hint="eastAsia"/>
          <w:color w:val="000000"/>
          <w:kern w:val="0"/>
          <w:sz w:val="32"/>
          <w:szCs w:val="32"/>
        </w:rPr>
        <w:t>当原材料、关键工艺、产品标准等方面的变化，应考虑其风险重新进行分析，评价和控制措施形成新风险管理资料并更新风险管理报告。</w:t>
      </w:r>
    </w:p>
    <w:p w:rsidR="000C025A" w:rsidRDefault="007901CF">
      <w:pPr>
        <w:numPr>
          <w:ilvl w:val="255"/>
          <w:numId w:val="0"/>
        </w:numPr>
        <w:spacing w:line="360" w:lineRule="auto"/>
        <w:ind w:firstLineChars="200" w:firstLine="640"/>
        <w:outlineLvl w:val="2"/>
        <w:rPr>
          <w:rFonts w:ascii="仿宋" w:eastAsia="仿宋" w:hAnsi="仿宋" w:cs="楷体"/>
          <w:sz w:val="32"/>
          <w:szCs w:val="32"/>
        </w:rPr>
      </w:pPr>
      <w:r>
        <w:rPr>
          <w:rFonts w:ascii="仿宋" w:eastAsia="仿宋" w:hAnsi="仿宋" w:cs="楷体" w:hint="eastAsia"/>
          <w:sz w:val="32"/>
          <w:szCs w:val="32"/>
        </w:rPr>
        <w:t>（六）采购</w:t>
      </w:r>
    </w:p>
    <w:p w:rsidR="000C025A" w:rsidRDefault="007901CF">
      <w:pPr>
        <w:spacing w:line="360" w:lineRule="auto"/>
        <w:ind w:firstLineChars="200" w:firstLine="636"/>
        <w:rPr>
          <w:rFonts w:ascii="仿宋" w:eastAsia="仿宋" w:hAnsi="仿宋" w:cs="Arial"/>
          <w:color w:val="000000"/>
          <w:spacing w:val="-1"/>
          <w:sz w:val="32"/>
          <w:szCs w:val="28"/>
        </w:rPr>
      </w:pPr>
      <w:r>
        <w:rPr>
          <w:rFonts w:ascii="仿宋" w:eastAsia="仿宋" w:hAnsi="仿宋" w:cs="Arial" w:hint="eastAsia"/>
          <w:color w:val="000000"/>
          <w:spacing w:val="-1"/>
          <w:sz w:val="32"/>
          <w:szCs w:val="28"/>
        </w:rPr>
        <w:t>双散射束流配送系统</w:t>
      </w:r>
      <w:r>
        <w:rPr>
          <w:rFonts w:ascii="仿宋" w:eastAsia="仿宋" w:hAnsi="仿宋" w:cs="Arial" w:hint="eastAsia"/>
          <w:color w:val="000000"/>
          <w:sz w:val="32"/>
          <w:szCs w:val="32"/>
        </w:rPr>
        <w:t>由外购和外协部件组成，</w:t>
      </w:r>
      <w:r>
        <w:rPr>
          <w:rFonts w:ascii="仿宋" w:eastAsia="仿宋" w:hAnsi="仿宋" w:cs="Arial" w:hint="eastAsia"/>
          <w:color w:val="000000"/>
          <w:spacing w:val="-1"/>
          <w:sz w:val="32"/>
          <w:szCs w:val="28"/>
        </w:rPr>
        <w:t>对于外购部件，应在质量技术协议或采购合同中明确主要技术参数、规格型号、质量要求及验收标准等内容，必要时提供供方出</w:t>
      </w:r>
      <w:r>
        <w:rPr>
          <w:rFonts w:ascii="仿宋" w:eastAsia="仿宋" w:hAnsi="仿宋" w:cs="Arial" w:hint="eastAsia"/>
          <w:color w:val="000000"/>
          <w:spacing w:val="-1"/>
          <w:sz w:val="32"/>
          <w:szCs w:val="28"/>
        </w:rPr>
        <w:lastRenderedPageBreak/>
        <w:t>厂检验报告。对于外协部件，应在质量技术协议中明确功能要求、技术参数、技术图纸、质量要求及验收标准等内容。对于关键部件，需实现采购可追溯。</w:t>
      </w:r>
    </w:p>
    <w:p w:rsidR="000C025A" w:rsidRDefault="007901CF">
      <w:pPr>
        <w:spacing w:line="360" w:lineRule="auto"/>
        <w:ind w:firstLineChars="200" w:firstLine="636"/>
        <w:rPr>
          <w:rFonts w:ascii="仿宋" w:eastAsia="仿宋" w:hAnsi="仿宋" w:cs="Arial"/>
          <w:color w:val="000000"/>
          <w:spacing w:val="-1"/>
          <w:sz w:val="32"/>
          <w:szCs w:val="28"/>
        </w:rPr>
      </w:pPr>
      <w:r>
        <w:rPr>
          <w:rFonts w:ascii="仿宋" w:eastAsia="仿宋" w:hAnsi="仿宋" w:cs="Arial" w:hint="eastAsia"/>
          <w:color w:val="000000"/>
          <w:spacing w:val="-1"/>
          <w:sz w:val="32"/>
          <w:szCs w:val="28"/>
        </w:rPr>
        <w:t>1.企业应具有物资分类明细表或物料清单，应至少包含产品名称、规格型号、分类等级等内容。应涵盖企业产品所涉及的全部原材料及辅料、耗材。企业应根据产品分类情况，对供方提出相应的控制要求。</w:t>
      </w:r>
    </w:p>
    <w:p w:rsidR="000C025A" w:rsidRDefault="007901CF">
      <w:pPr>
        <w:spacing w:line="360" w:lineRule="auto"/>
        <w:ind w:firstLineChars="200" w:firstLine="636"/>
        <w:rPr>
          <w:rFonts w:ascii="仿宋" w:eastAsia="仿宋" w:hAnsi="仿宋" w:cs="Arial"/>
          <w:color w:val="000000"/>
          <w:spacing w:val="-1"/>
          <w:sz w:val="32"/>
          <w:szCs w:val="28"/>
        </w:rPr>
      </w:pPr>
      <w:r>
        <w:rPr>
          <w:rFonts w:ascii="仿宋" w:eastAsia="仿宋" w:hAnsi="仿宋" w:cs="Arial" w:hint="eastAsia"/>
          <w:color w:val="000000"/>
          <w:spacing w:val="-1"/>
          <w:sz w:val="32"/>
          <w:szCs w:val="28"/>
        </w:rPr>
        <w:t>2.企业在采购原材料时，必须确保所采购的材料能够满足产品设计输出的规格要求，并严格遵守相关的采购合同、合同附件中的技术规格说明书以及质量协议等要求。对于已注册或备案的医疗器械部件采购，企业应保存有效的医疗器械产品注册证。此外，对于有强制性国家或行业标准规定的采购产品，其性能和质量必须满足或超过相应的标准要求。</w:t>
      </w:r>
    </w:p>
    <w:p w:rsidR="000C025A" w:rsidRDefault="007901CF">
      <w:pPr>
        <w:spacing w:line="360" w:lineRule="auto"/>
        <w:ind w:firstLineChars="200" w:firstLine="636"/>
        <w:rPr>
          <w:rFonts w:ascii="仿宋" w:eastAsia="仿宋" w:hAnsi="仿宋" w:cs="Arial"/>
          <w:color w:val="000000"/>
          <w:spacing w:val="-1"/>
          <w:sz w:val="32"/>
          <w:szCs w:val="28"/>
        </w:rPr>
      </w:pPr>
      <w:r>
        <w:rPr>
          <w:rFonts w:ascii="仿宋" w:eastAsia="仿宋" w:hAnsi="仿宋" w:cs="Arial" w:hint="eastAsia"/>
          <w:color w:val="000000"/>
          <w:spacing w:val="-1"/>
          <w:sz w:val="32"/>
          <w:szCs w:val="28"/>
        </w:rPr>
        <w:t>3.企业应保存采购过程活动记录，如双散射束流配送系统采购申请单、采购合同、出厂验证报告、安装现场的来料检验等信息等，记录内容包括但不限于以下关键信息：物料的品名、型号规格、批号、供应商（生产商）信息、质量标准、进货验收结果以及采购凭证等，记录应保持完整且可追溯。</w:t>
      </w:r>
    </w:p>
    <w:p w:rsidR="000C025A" w:rsidRDefault="007901CF">
      <w:pPr>
        <w:numPr>
          <w:ilvl w:val="0"/>
          <w:numId w:val="11"/>
        </w:numPr>
        <w:spacing w:line="360" w:lineRule="auto"/>
        <w:ind w:firstLineChars="200" w:firstLine="640"/>
        <w:outlineLvl w:val="2"/>
        <w:rPr>
          <w:rFonts w:ascii="楷体" w:eastAsia="楷体" w:hAnsi="楷体" w:cs="楷体"/>
          <w:sz w:val="32"/>
          <w:szCs w:val="32"/>
        </w:rPr>
      </w:pPr>
      <w:r>
        <w:rPr>
          <w:rFonts w:ascii="楷体" w:eastAsia="楷体" w:hAnsi="楷体" w:cs="楷体" w:hint="eastAsia"/>
          <w:sz w:val="32"/>
          <w:szCs w:val="32"/>
        </w:rPr>
        <w:t>生产管理</w:t>
      </w:r>
    </w:p>
    <w:p w:rsidR="000C025A" w:rsidRDefault="007901CF">
      <w:pPr>
        <w:spacing w:line="360" w:lineRule="auto"/>
        <w:ind w:firstLineChars="200" w:firstLine="636"/>
        <w:rPr>
          <w:rFonts w:ascii="仿宋" w:eastAsia="仿宋" w:hAnsi="仿宋" w:cs="Arial"/>
          <w:color w:val="000000"/>
          <w:spacing w:val="-1"/>
          <w:sz w:val="32"/>
          <w:szCs w:val="28"/>
        </w:rPr>
      </w:pPr>
      <w:bookmarkStart w:id="28" w:name="_Toc18342"/>
      <w:bookmarkStart w:id="29" w:name="_Toc20525"/>
      <w:bookmarkStart w:id="30" w:name="_Toc27626"/>
      <w:bookmarkStart w:id="31" w:name="_Toc20153"/>
      <w:bookmarkStart w:id="32" w:name="_Toc4759"/>
      <w:bookmarkStart w:id="33" w:name="_Toc22368"/>
      <w:bookmarkStart w:id="34" w:name="_Toc26855"/>
      <w:bookmarkStart w:id="35" w:name="_Toc21148"/>
      <w:bookmarkStart w:id="36" w:name="_Toc15882"/>
      <w:bookmarkStart w:id="37" w:name="_Toc9002"/>
      <w:bookmarkStart w:id="38" w:name="_Toc32053"/>
      <w:bookmarkStart w:id="39" w:name="_Toc22651"/>
      <w:bookmarkStart w:id="40" w:name="_Toc26361"/>
      <w:bookmarkStart w:id="41" w:name="_Toc17324"/>
      <w:r>
        <w:rPr>
          <w:rFonts w:ascii="仿宋" w:eastAsia="仿宋" w:hAnsi="仿宋" w:cs="Arial" w:hint="eastAsia"/>
          <w:color w:val="000000"/>
          <w:spacing w:val="-1"/>
          <w:sz w:val="32"/>
          <w:szCs w:val="28"/>
        </w:rPr>
        <w:t>生产过程是产品质量形成的关键保障，企业通过对人、机、料、法、环的控制，确保所有相关活动开展应符合相关</w:t>
      </w:r>
      <w:r>
        <w:rPr>
          <w:rFonts w:ascii="仿宋" w:eastAsia="仿宋" w:hAnsi="仿宋" w:cs="Arial" w:hint="eastAsia"/>
          <w:color w:val="000000"/>
          <w:spacing w:val="-1"/>
          <w:sz w:val="32"/>
          <w:szCs w:val="28"/>
        </w:rPr>
        <w:lastRenderedPageBreak/>
        <w:t>法律、法规、标准及质量管理体系的要求。</w:t>
      </w:r>
    </w:p>
    <w:p w:rsidR="000C025A" w:rsidRDefault="007901CF" w:rsidP="00DF25B1">
      <w:pPr>
        <w:pStyle w:val="a"/>
        <w:numPr>
          <w:ilvl w:val="0"/>
          <w:numId w:val="12"/>
        </w:numPr>
      </w:pPr>
      <w:r>
        <w:rPr>
          <w:rFonts w:hint="eastAsia"/>
        </w:rPr>
        <w:t>生产：</w:t>
      </w:r>
    </w:p>
    <w:p w:rsidR="000C025A" w:rsidRDefault="007901CF" w:rsidP="00DF25B1">
      <w:pPr>
        <w:pStyle w:val="a"/>
        <w:numPr>
          <w:ilvl w:val="0"/>
          <w:numId w:val="21"/>
        </w:numPr>
      </w:pPr>
      <w:r>
        <w:rPr>
          <w:rFonts w:hint="eastAsia"/>
        </w:rPr>
        <w:t>企业应识别产品的全部特性和相应工艺流程，并依据产品特性要求明确产品实现各阶段控制要求和必要的资源条件。</w:t>
      </w:r>
    </w:p>
    <w:p w:rsidR="000C025A" w:rsidRDefault="007901CF" w:rsidP="00DF25B1">
      <w:pPr>
        <w:pStyle w:val="a"/>
      </w:pPr>
      <w:r>
        <w:rPr>
          <w:rFonts w:hint="eastAsia"/>
        </w:rPr>
        <w:t>企业</w:t>
      </w:r>
      <w:proofErr w:type="gramStart"/>
      <w:r>
        <w:rPr>
          <w:rFonts w:hint="eastAsia"/>
        </w:rPr>
        <w:t>应评价</w:t>
      </w:r>
      <w:proofErr w:type="gramEnd"/>
      <w:r>
        <w:rPr>
          <w:rFonts w:hint="eastAsia"/>
        </w:rPr>
        <w:t>产品实现过程的质量形成因素，识别对质量有影响的相关过程、关键工序和特殊过程，并制定形成文件的程序、作业指导书以及引用资料和引用的测量程序。</w:t>
      </w:r>
    </w:p>
    <w:p w:rsidR="000C025A" w:rsidRDefault="007901CF" w:rsidP="00DF25B1">
      <w:pPr>
        <w:pStyle w:val="a"/>
      </w:pPr>
      <w:r>
        <w:rPr>
          <w:rFonts w:hint="eastAsia"/>
        </w:rPr>
        <w:t>企业应明确关键工序或特殊过程中的重要工艺参数，并制定关键工序、特殊过程的重要工艺参数验证确认的规定，各操作人员应严格执行。操作人员应做好过程监测记录，记录内容必须包含产品名称、规格型号、生产批号或产品序列号、工艺参数、检验结果、作业环境、作业人员、作业日期、所使用的主要仪器、设备或工装等可追溯性信息。</w:t>
      </w:r>
    </w:p>
    <w:p w:rsidR="000C025A" w:rsidRDefault="007901CF" w:rsidP="00DF25B1">
      <w:pPr>
        <w:pStyle w:val="a"/>
        <w:numPr>
          <w:ilvl w:val="0"/>
          <w:numId w:val="12"/>
        </w:numPr>
      </w:pPr>
      <w:r>
        <w:rPr>
          <w:rFonts w:hint="eastAsia"/>
        </w:rPr>
        <w:t>安装：</w:t>
      </w:r>
    </w:p>
    <w:p w:rsidR="000C025A" w:rsidRDefault="007901CF">
      <w:pPr>
        <w:numPr>
          <w:ilvl w:val="0"/>
          <w:numId w:val="14"/>
        </w:numPr>
        <w:tabs>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企业应制</w:t>
      </w:r>
      <w:proofErr w:type="gramStart"/>
      <w:r>
        <w:rPr>
          <w:rFonts w:ascii="仿宋" w:eastAsia="仿宋" w:hAnsi="仿宋" w:hint="eastAsia"/>
          <w:color w:val="000000"/>
          <w:sz w:val="32"/>
          <w:szCs w:val="32"/>
        </w:rPr>
        <w:t>定双散束</w:t>
      </w:r>
      <w:proofErr w:type="gramEnd"/>
      <w:r>
        <w:rPr>
          <w:rFonts w:ascii="仿宋" w:eastAsia="仿宋" w:hAnsi="仿宋" w:hint="eastAsia"/>
          <w:color w:val="000000"/>
          <w:sz w:val="32"/>
          <w:szCs w:val="32"/>
        </w:rPr>
        <w:t>配送系统的安装作业文件及安装验收要求文件。</w:t>
      </w:r>
    </w:p>
    <w:p w:rsidR="000C025A" w:rsidRDefault="007901CF">
      <w:pPr>
        <w:numPr>
          <w:ilvl w:val="0"/>
          <w:numId w:val="14"/>
        </w:numPr>
        <w:tabs>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企业应根据安装作业的具体要求配置所需的安装设备，确保使用过程中的记录完整、真实、可追溯。对于任何异常记录，企业应进行进一步调查和必要的处理，确保安装过程的质量和安全。</w:t>
      </w:r>
    </w:p>
    <w:p w:rsidR="000C025A" w:rsidRDefault="007901CF">
      <w:pPr>
        <w:numPr>
          <w:ilvl w:val="0"/>
          <w:numId w:val="14"/>
        </w:numPr>
        <w:tabs>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lastRenderedPageBreak/>
        <w:t>企业应具有完善的辐射剂量检测措施和防护措施。</w:t>
      </w:r>
    </w:p>
    <w:p w:rsidR="000C025A" w:rsidRDefault="007901CF">
      <w:pPr>
        <w:numPr>
          <w:ilvl w:val="0"/>
          <w:numId w:val="14"/>
        </w:numPr>
        <w:tabs>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企业应确认安装工作按照作业文件执行，确保双散射束流配送系统的运行可靠性和稳定性，并对安装结果进行符合性验证。</w:t>
      </w:r>
    </w:p>
    <w:p w:rsidR="000C025A" w:rsidRDefault="007901CF">
      <w:pPr>
        <w:numPr>
          <w:ilvl w:val="0"/>
          <w:numId w:val="14"/>
        </w:numPr>
        <w:tabs>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安装完成后，企业应进行必要的性能测试和安全检查，确保符合预定的性能标准和安全要求。</w:t>
      </w:r>
    </w:p>
    <w:p w:rsidR="000C025A" w:rsidRDefault="007901CF" w:rsidP="00DF25B1">
      <w:pPr>
        <w:pStyle w:val="a"/>
        <w:numPr>
          <w:ilvl w:val="0"/>
          <w:numId w:val="12"/>
        </w:numPr>
      </w:pPr>
      <w:r>
        <w:rPr>
          <w:rFonts w:hint="eastAsia"/>
        </w:rPr>
        <w:t>调试：</w:t>
      </w:r>
    </w:p>
    <w:p w:rsidR="000C025A" w:rsidRDefault="00DF25B1" w:rsidP="00DF25B1">
      <w:pPr>
        <w:pStyle w:val="a"/>
        <w:numPr>
          <w:ilvl w:val="0"/>
          <w:numId w:val="0"/>
        </w:numPr>
        <w:ind w:left="425"/>
      </w:pPr>
      <w:r>
        <w:rPr>
          <w:rFonts w:hint="eastAsia"/>
        </w:rPr>
        <w:t>（1）</w:t>
      </w:r>
      <w:r w:rsidR="007901CF">
        <w:rPr>
          <w:rFonts w:hint="eastAsia"/>
        </w:rPr>
        <w:t>企业</w:t>
      </w:r>
      <w:proofErr w:type="gramStart"/>
      <w:r w:rsidR="007901CF">
        <w:rPr>
          <w:rFonts w:hint="eastAsia"/>
        </w:rPr>
        <w:t>应制定双散射</w:t>
      </w:r>
      <w:proofErr w:type="gramEnd"/>
      <w:r w:rsidR="007901CF">
        <w:rPr>
          <w:rFonts w:hint="eastAsia"/>
        </w:rPr>
        <w:t>束流配送系统调试作业指导文件。</w:t>
      </w:r>
    </w:p>
    <w:p w:rsidR="000C025A" w:rsidRDefault="00DF25B1" w:rsidP="00DF25B1">
      <w:pPr>
        <w:pStyle w:val="a"/>
        <w:numPr>
          <w:ilvl w:val="0"/>
          <w:numId w:val="0"/>
        </w:numPr>
        <w:ind w:left="425"/>
      </w:pPr>
      <w:r>
        <w:rPr>
          <w:rFonts w:hint="eastAsia"/>
        </w:rPr>
        <w:t>（2）</w:t>
      </w:r>
      <w:r w:rsidR="007901CF">
        <w:rPr>
          <w:rFonts w:hint="eastAsia"/>
        </w:rPr>
        <w:t>企业应配置调试所需要的检验设备，并进行管理。</w:t>
      </w:r>
    </w:p>
    <w:p w:rsidR="000C025A" w:rsidRDefault="00DF25B1" w:rsidP="00DF25B1">
      <w:pPr>
        <w:pStyle w:val="a"/>
        <w:numPr>
          <w:ilvl w:val="0"/>
          <w:numId w:val="0"/>
        </w:numPr>
        <w:ind w:firstLineChars="150" w:firstLine="477"/>
      </w:pPr>
      <w:r>
        <w:rPr>
          <w:rFonts w:hint="eastAsia"/>
        </w:rPr>
        <w:t>（3）</w:t>
      </w:r>
      <w:r w:rsidR="007901CF">
        <w:rPr>
          <w:rFonts w:hint="eastAsia"/>
        </w:rPr>
        <w:t>企业应按照调试作业文件的要求及设计指标的要求进行双散射束流配送系统调试，确认射程调节器、散射片、剂量监测电离室和射程调制轮等指标满足要求，并形成相应的记录。</w:t>
      </w:r>
    </w:p>
    <w:p w:rsidR="000C025A" w:rsidRDefault="007901CF">
      <w:pPr>
        <w:numPr>
          <w:ilvl w:val="0"/>
          <w:numId w:val="11"/>
        </w:numPr>
        <w:spacing w:line="360" w:lineRule="auto"/>
        <w:ind w:firstLineChars="200" w:firstLine="640"/>
        <w:outlineLvl w:val="2"/>
        <w:rPr>
          <w:rFonts w:ascii="楷体" w:eastAsia="楷体" w:hAnsi="楷体" w:cs="楷体"/>
          <w:sz w:val="32"/>
          <w:szCs w:val="32"/>
        </w:rPr>
      </w:pPr>
      <w:r>
        <w:rPr>
          <w:rFonts w:ascii="楷体" w:eastAsia="楷体" w:hAnsi="楷体" w:cs="楷体" w:hint="eastAsia"/>
          <w:sz w:val="32"/>
          <w:szCs w:val="32"/>
        </w:rPr>
        <w:t>质量控制</w:t>
      </w:r>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0C025A" w:rsidRDefault="007901CF">
      <w:pPr>
        <w:spacing w:line="360" w:lineRule="auto"/>
        <w:ind w:firstLineChars="200" w:firstLine="640"/>
        <w:rPr>
          <w:rFonts w:ascii="仿宋" w:eastAsia="仿宋" w:hAnsi="仿宋" w:cs="仿宋"/>
          <w:szCs w:val="21"/>
        </w:rPr>
      </w:pPr>
      <w:r>
        <w:rPr>
          <w:rFonts w:ascii="仿宋" w:eastAsia="仿宋" w:hAnsi="仿宋" w:cs="仿宋" w:hint="eastAsia"/>
          <w:color w:val="000000"/>
          <w:sz w:val="32"/>
          <w:szCs w:val="32"/>
          <w:lang w:bidi="ar"/>
        </w:rPr>
        <w:t>企业应建立质量控制程序，规定检验部门、人员、操作等要求，并规定检验仪器设备的使用、校准等要求，以及产品放行的程序。</w:t>
      </w:r>
    </w:p>
    <w:p w:rsidR="000C025A" w:rsidRDefault="007901CF">
      <w:pPr>
        <w:numPr>
          <w:ilvl w:val="0"/>
          <w:numId w:val="16"/>
        </w:num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lang w:bidi="ar"/>
        </w:rPr>
        <w:t>控制程序</w:t>
      </w:r>
    </w:p>
    <w:p w:rsidR="000C025A" w:rsidRDefault="007901CF">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lang w:bidi="ar"/>
        </w:rPr>
        <w:t>企业应建立相应检验管理控制程序文件，如：检验放行控制程序、不合格品控制程序、监视测量设备管理控制程序等等。</w:t>
      </w:r>
    </w:p>
    <w:p w:rsidR="000C025A" w:rsidRDefault="007901CF">
      <w:pPr>
        <w:numPr>
          <w:ilvl w:val="0"/>
          <w:numId w:val="16"/>
        </w:numPr>
        <w:spacing w:line="360" w:lineRule="auto"/>
        <w:ind w:firstLineChars="200" w:firstLine="640"/>
        <w:rPr>
          <w:rFonts w:ascii="仿宋" w:eastAsia="仿宋" w:hAnsi="仿宋" w:cs="仿宋"/>
          <w:bCs/>
          <w:sz w:val="32"/>
          <w:szCs w:val="32"/>
          <w:lang w:bidi="ar"/>
        </w:rPr>
      </w:pPr>
      <w:r>
        <w:rPr>
          <w:rFonts w:ascii="仿宋" w:eastAsia="仿宋" w:hAnsi="仿宋" w:cs="仿宋" w:hint="eastAsia"/>
          <w:bCs/>
          <w:sz w:val="32"/>
          <w:szCs w:val="32"/>
          <w:lang w:bidi="ar"/>
        </w:rPr>
        <w:t>来料、过程控制</w:t>
      </w:r>
    </w:p>
    <w:p w:rsidR="000C025A" w:rsidRDefault="007901CF">
      <w:pPr>
        <w:numPr>
          <w:ilvl w:val="0"/>
          <w:numId w:val="17"/>
        </w:numPr>
        <w:spacing w:line="360" w:lineRule="auto"/>
        <w:ind w:left="5" w:firstLine="635"/>
        <w:rPr>
          <w:rFonts w:ascii="仿宋" w:eastAsia="仿宋" w:hAnsi="仿宋" w:cs="仿宋"/>
          <w:sz w:val="32"/>
          <w:szCs w:val="32"/>
        </w:rPr>
      </w:pPr>
      <w:r>
        <w:rPr>
          <w:rFonts w:ascii="仿宋" w:eastAsia="仿宋" w:hAnsi="仿宋" w:cs="仿宋" w:hint="eastAsia"/>
          <w:sz w:val="32"/>
          <w:szCs w:val="32"/>
          <w:lang w:bidi="ar"/>
        </w:rPr>
        <w:lastRenderedPageBreak/>
        <w:t>企业应对外购或外协设备来料形成验收资料，外协应包含厂家出厂方案及验收报告。</w:t>
      </w:r>
    </w:p>
    <w:p w:rsidR="000C025A" w:rsidRDefault="007901CF">
      <w:pPr>
        <w:numPr>
          <w:ilvl w:val="0"/>
          <w:numId w:val="17"/>
        </w:numPr>
        <w:spacing w:line="360" w:lineRule="auto"/>
        <w:ind w:left="5" w:firstLine="635"/>
        <w:rPr>
          <w:rFonts w:ascii="楷体" w:eastAsia="楷体" w:hAnsi="楷体" w:cs="楷体"/>
          <w:sz w:val="32"/>
          <w:szCs w:val="32"/>
        </w:rPr>
      </w:pPr>
      <w:r>
        <w:rPr>
          <w:rFonts w:ascii="仿宋" w:eastAsia="仿宋" w:hAnsi="仿宋" w:hint="eastAsia"/>
          <w:color w:val="000000"/>
          <w:sz w:val="32"/>
          <w:szCs w:val="32"/>
        </w:rPr>
        <w:t>企业应对产品生产、安装调试过程形成验收记录，应包含关键控制参数</w:t>
      </w:r>
      <w:r>
        <w:rPr>
          <w:rFonts w:ascii="仿宋" w:eastAsia="仿宋" w:hAnsi="仿宋" w:cs="仿宋" w:hint="eastAsia"/>
          <w:sz w:val="32"/>
          <w:szCs w:val="32"/>
          <w:lang w:bidi="ar"/>
        </w:rPr>
        <w:t>。</w:t>
      </w:r>
    </w:p>
    <w:p w:rsidR="000C025A" w:rsidRDefault="007901CF">
      <w:pPr>
        <w:numPr>
          <w:ilvl w:val="0"/>
          <w:numId w:val="16"/>
        </w:numPr>
        <w:spacing w:line="360" w:lineRule="auto"/>
        <w:ind w:firstLineChars="200" w:firstLine="640"/>
        <w:rPr>
          <w:rFonts w:ascii="仿宋" w:eastAsia="仿宋" w:hAnsi="仿宋" w:cs="仿宋"/>
          <w:bCs/>
          <w:sz w:val="32"/>
          <w:szCs w:val="32"/>
          <w:lang w:bidi="ar"/>
        </w:rPr>
      </w:pPr>
      <w:r>
        <w:rPr>
          <w:rFonts w:ascii="仿宋" w:eastAsia="仿宋" w:hAnsi="仿宋" w:cs="仿宋" w:hint="eastAsia"/>
          <w:bCs/>
          <w:sz w:val="32"/>
          <w:szCs w:val="32"/>
          <w:lang w:bidi="ar"/>
        </w:rPr>
        <w:t>计算机软件确认</w:t>
      </w:r>
    </w:p>
    <w:p w:rsidR="000C025A" w:rsidRDefault="007901CF">
      <w:pPr>
        <w:numPr>
          <w:ilvl w:val="0"/>
          <w:numId w:val="18"/>
        </w:numPr>
        <w:spacing w:line="360" w:lineRule="auto"/>
        <w:ind w:left="0" w:firstLine="640"/>
        <w:rPr>
          <w:rFonts w:ascii="仿宋" w:eastAsia="仿宋" w:hAnsi="仿宋" w:cs="仿宋"/>
          <w:color w:val="000000"/>
          <w:sz w:val="32"/>
          <w:szCs w:val="32"/>
        </w:rPr>
      </w:pPr>
      <w:r>
        <w:rPr>
          <w:rFonts w:ascii="仿宋" w:eastAsia="仿宋" w:hAnsi="仿宋" w:cs="仿宋" w:hint="eastAsia"/>
          <w:color w:val="000000"/>
          <w:sz w:val="32"/>
          <w:szCs w:val="32"/>
          <w:lang w:bidi="ar"/>
        </w:rPr>
        <w:t>企业应制定计算机软件确认程序文件。</w:t>
      </w:r>
    </w:p>
    <w:p w:rsidR="000C025A" w:rsidRDefault="007901CF">
      <w:pPr>
        <w:numPr>
          <w:ilvl w:val="0"/>
          <w:numId w:val="18"/>
        </w:numPr>
        <w:spacing w:line="360" w:lineRule="auto"/>
        <w:ind w:left="0" w:firstLine="640"/>
        <w:rPr>
          <w:rFonts w:ascii="仿宋" w:eastAsia="仿宋" w:hAnsi="仿宋" w:cs="仿宋"/>
          <w:color w:val="000000"/>
          <w:sz w:val="32"/>
          <w:szCs w:val="32"/>
        </w:rPr>
      </w:pPr>
      <w:r>
        <w:rPr>
          <w:rFonts w:ascii="仿宋" w:eastAsia="仿宋" w:hAnsi="仿宋" w:cs="仿宋" w:hint="eastAsia"/>
          <w:color w:val="000000"/>
          <w:sz w:val="32"/>
          <w:szCs w:val="32"/>
          <w:lang w:bidi="ar"/>
        </w:rPr>
        <w:t>企业应对生产、安装过程使用的生产设备或监视测量设备、检验目的的测试软件和质量管理软件在使用前应进行确认；当软件更改、受计算机病毒侵害等情况发生时，企业应进行再确认。</w:t>
      </w:r>
    </w:p>
    <w:p w:rsidR="000C025A" w:rsidRDefault="007901CF">
      <w:pPr>
        <w:numPr>
          <w:ilvl w:val="0"/>
          <w:numId w:val="16"/>
        </w:numPr>
        <w:spacing w:line="360" w:lineRule="auto"/>
        <w:ind w:firstLineChars="200" w:firstLine="640"/>
        <w:rPr>
          <w:rFonts w:ascii="仿宋" w:eastAsia="仿宋" w:hAnsi="仿宋" w:cs="仿宋"/>
          <w:bCs/>
          <w:sz w:val="32"/>
          <w:szCs w:val="32"/>
          <w:lang w:bidi="ar"/>
        </w:rPr>
      </w:pPr>
      <w:r>
        <w:rPr>
          <w:rFonts w:ascii="仿宋" w:eastAsia="仿宋" w:hAnsi="仿宋" w:cs="仿宋" w:hint="eastAsia"/>
          <w:bCs/>
          <w:sz w:val="32"/>
          <w:szCs w:val="32"/>
          <w:lang w:bidi="ar"/>
        </w:rPr>
        <w:t>不合格品控制</w:t>
      </w:r>
    </w:p>
    <w:p w:rsidR="000C025A" w:rsidRDefault="00DF25B1">
      <w:pPr>
        <w:spacing w:line="360" w:lineRule="auto"/>
        <w:ind w:firstLineChars="200" w:firstLine="640"/>
        <w:rPr>
          <w:rFonts w:ascii="仿宋" w:eastAsia="仿宋" w:hAnsi="仿宋" w:cs="仿宋"/>
          <w:color w:val="000000"/>
          <w:sz w:val="32"/>
          <w:szCs w:val="32"/>
        </w:rPr>
      </w:pPr>
      <w:r w:rsidRPr="00A62EAD">
        <w:rPr>
          <w:rFonts w:ascii="仿宋_GB2312" w:eastAsia="仿宋_GB2312" w:hAnsi="Arial" w:cs="Arial" w:hint="eastAsia"/>
          <w:color w:val="000000"/>
          <w:sz w:val="32"/>
          <w:szCs w:val="28"/>
        </w:rPr>
        <w:t>（</w:t>
      </w:r>
      <w:r>
        <w:rPr>
          <w:rFonts w:ascii="仿宋" w:eastAsia="仿宋" w:hAnsi="仿宋" w:cs="仿宋" w:hint="eastAsia"/>
          <w:color w:val="000000"/>
          <w:sz w:val="32"/>
          <w:szCs w:val="32"/>
        </w:rPr>
        <w:t>1）</w:t>
      </w:r>
      <w:r w:rsidR="007901CF">
        <w:rPr>
          <w:rFonts w:ascii="仿宋" w:eastAsia="仿宋" w:hAnsi="仿宋" w:cs="仿宋" w:hint="eastAsia"/>
          <w:color w:val="000000"/>
          <w:sz w:val="32"/>
          <w:szCs w:val="32"/>
        </w:rPr>
        <w:t>企业应建立不合格品控制程序，规定不合格品控制的部门和人员的职责与权限。</w:t>
      </w:r>
    </w:p>
    <w:p w:rsidR="000C025A" w:rsidRDefault="00DF25B1">
      <w:pPr>
        <w:spacing w:line="360"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w:t>
      </w:r>
      <w:r w:rsidR="007901CF">
        <w:rPr>
          <w:rFonts w:ascii="仿宋" w:eastAsia="仿宋" w:hAnsi="仿宋" w:cs="仿宋" w:hint="eastAsia"/>
          <w:color w:val="000000"/>
          <w:sz w:val="32"/>
          <w:szCs w:val="32"/>
        </w:rPr>
        <w:t>企业应明确不合格物料的识别、记录、隔离和评审流程，根据评审结果，对不合格物</w:t>
      </w:r>
      <w:proofErr w:type="gramStart"/>
      <w:r w:rsidR="007901CF">
        <w:rPr>
          <w:rFonts w:ascii="仿宋" w:eastAsia="仿宋" w:hAnsi="仿宋" w:cs="仿宋" w:hint="eastAsia"/>
          <w:color w:val="000000"/>
          <w:sz w:val="32"/>
          <w:szCs w:val="32"/>
        </w:rPr>
        <w:t>料采取</w:t>
      </w:r>
      <w:proofErr w:type="gramEnd"/>
      <w:r w:rsidR="007901CF">
        <w:rPr>
          <w:rFonts w:ascii="仿宋" w:eastAsia="仿宋" w:hAnsi="仿宋" w:cs="仿宋" w:hint="eastAsia"/>
          <w:color w:val="000000"/>
          <w:sz w:val="32"/>
          <w:szCs w:val="32"/>
        </w:rPr>
        <w:t>相应的处置措施。</w:t>
      </w:r>
    </w:p>
    <w:p w:rsidR="000C025A" w:rsidRDefault="00DF25B1">
      <w:pPr>
        <w:spacing w:line="360"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w:t>
      </w:r>
      <w:r w:rsidR="007901CF">
        <w:rPr>
          <w:rFonts w:ascii="仿宋" w:eastAsia="仿宋" w:hAnsi="仿宋" w:cs="仿宋" w:hint="eastAsia"/>
          <w:color w:val="000000"/>
          <w:sz w:val="32"/>
          <w:szCs w:val="32"/>
        </w:rPr>
        <w:t>企业应按程序文件要求执行，对不合格物料分门归类、原因分析、纠正预防措施应合理、有效，应进行评审，且保留评审记录。</w:t>
      </w:r>
    </w:p>
    <w:p w:rsidR="000C025A" w:rsidRDefault="00DF25B1">
      <w:pPr>
        <w:spacing w:line="360"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（4）</w:t>
      </w:r>
      <w:r w:rsidR="007901CF">
        <w:rPr>
          <w:rFonts w:ascii="仿宋" w:eastAsia="仿宋" w:hAnsi="仿宋" w:cs="仿宋" w:hint="eastAsia"/>
          <w:color w:val="000000"/>
          <w:sz w:val="32"/>
          <w:szCs w:val="32"/>
        </w:rPr>
        <w:t>企业应对可以返工的不合格物料</w:t>
      </w:r>
      <w:proofErr w:type="gramStart"/>
      <w:r w:rsidR="007901CF">
        <w:rPr>
          <w:rFonts w:ascii="仿宋" w:eastAsia="仿宋" w:hAnsi="仿宋" w:cs="仿宋" w:hint="eastAsia"/>
          <w:color w:val="000000"/>
          <w:sz w:val="32"/>
          <w:szCs w:val="32"/>
        </w:rPr>
        <w:t>作出</w:t>
      </w:r>
      <w:proofErr w:type="gramEnd"/>
      <w:r w:rsidR="007901CF">
        <w:rPr>
          <w:rFonts w:ascii="仿宋" w:eastAsia="仿宋" w:hAnsi="仿宋" w:cs="仿宋" w:hint="eastAsia"/>
          <w:color w:val="000000"/>
          <w:sz w:val="32"/>
          <w:szCs w:val="32"/>
        </w:rPr>
        <w:t>规定，应按照返工文件要求进行返工活动，并记录。</w:t>
      </w:r>
    </w:p>
    <w:p w:rsidR="000C025A" w:rsidRDefault="00DF25B1">
      <w:pPr>
        <w:spacing w:line="360"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（5</w:t>
      </w:r>
      <w:bookmarkStart w:id="42" w:name="_GoBack"/>
      <w:bookmarkEnd w:id="42"/>
      <w:r>
        <w:rPr>
          <w:rFonts w:ascii="仿宋" w:eastAsia="仿宋" w:hAnsi="仿宋" w:cs="仿宋" w:hint="eastAsia"/>
          <w:color w:val="000000"/>
          <w:sz w:val="32"/>
          <w:szCs w:val="32"/>
        </w:rPr>
        <w:t>）</w:t>
      </w:r>
      <w:r w:rsidR="007901CF">
        <w:rPr>
          <w:rFonts w:ascii="仿宋" w:eastAsia="仿宋" w:hAnsi="仿宋" w:cs="仿宋" w:hint="eastAsia"/>
          <w:color w:val="000000"/>
          <w:sz w:val="32"/>
          <w:szCs w:val="32"/>
        </w:rPr>
        <w:t>企业应建立不合格物料处置记录，记录内容应完整且能有效反映处置的过程，满足可追溯要求。</w:t>
      </w:r>
      <w:bookmarkEnd w:id="0"/>
      <w:bookmarkEnd w:id="1"/>
      <w:bookmarkEnd w:id="2"/>
      <w:bookmarkEnd w:id="3"/>
      <w:bookmarkEnd w:id="4"/>
      <w:bookmarkEnd w:id="5"/>
      <w:bookmarkEnd w:id="6"/>
      <w:bookmarkEnd w:id="7"/>
      <w:bookmarkEnd w:id="8"/>
      <w:bookmarkEnd w:id="9"/>
      <w:bookmarkEnd w:id="10"/>
      <w:bookmarkEnd w:id="11"/>
      <w:bookmarkEnd w:id="12"/>
      <w:bookmarkEnd w:id="13"/>
    </w:p>
    <w:sectPr w:rsidR="000C025A">
      <w:footerReference w:type="default" r:id="rId9"/>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798" w:rsidRDefault="00F91798" w:rsidP="00656BCD">
      <w:r>
        <w:separator/>
      </w:r>
    </w:p>
  </w:endnote>
  <w:endnote w:type="continuationSeparator" w:id="0">
    <w:p w:rsidR="00F91798" w:rsidRDefault="00F91798" w:rsidP="0065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354EF68F-4BF3-46A8-BD6F-DBA404F43F6E}"/>
  </w:font>
  <w:font w:name="仿宋">
    <w:panose1 w:val="02010609060101010101"/>
    <w:charset w:val="86"/>
    <w:family w:val="modern"/>
    <w:pitch w:val="fixed"/>
    <w:sig w:usb0="800002BF" w:usb1="38CF7CFA" w:usb2="00000016" w:usb3="00000000" w:csb0="00040001" w:csb1="00000000"/>
    <w:embedRegular r:id="rId2" w:subsetted="1" w:fontKey="{4CA2F8DB-755A-457F-A594-E64FF0BE07B3}"/>
    <w:embedBold r:id="rId3" w:subsetted="1" w:fontKey="{27807C4C-EE77-4B0E-A571-7EB4F45006C6}"/>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embedRegular r:id="rId4" w:subsetted="1" w:fontKey="{5D7EB04D-52B7-404E-9089-6DFC2A815DA8}"/>
    <w:embedBold r:id="rId5" w:subsetted="1" w:fontKey="{69CA780B-EAFB-468E-B100-E810C390E964}"/>
  </w:font>
  <w:font w:name="仿宋_GB2312">
    <w:panose1 w:val="02010609030101010101"/>
    <w:charset w:val="86"/>
    <w:family w:val="modern"/>
    <w:pitch w:val="fixed"/>
    <w:sig w:usb0="00000001" w:usb1="080E0000" w:usb2="00000010" w:usb3="00000000" w:csb0="00040000" w:csb1="00000000"/>
    <w:embedRegular r:id="rId6" w:subsetted="1" w:fontKey="{ACFFBCBE-CD72-45F6-984E-025A72CADBE8}"/>
  </w:font>
  <w:font w:name="Mangal">
    <w:panose1 w:val="02040503050203030202"/>
    <w:charset w:val="00"/>
    <w:family w:val="roman"/>
    <w:pitch w:val="variable"/>
    <w:sig w:usb0="00008003" w:usb1="00000000" w:usb2="00000000" w:usb3="00000000" w:csb0="00000001" w:csb1="00000000"/>
  </w:font>
  <w:font w:name="Microsoft YaHei UI">
    <w:panose1 w:val="020B0503020204020204"/>
    <w:charset w:val="86"/>
    <w:family w:val="swiss"/>
    <w:pitch w:val="variable"/>
    <w:sig w:usb0="80000287" w:usb1="28C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09940"/>
      <w:docPartObj>
        <w:docPartGallery w:val="Page Numbers (Bottom of Page)"/>
        <w:docPartUnique/>
      </w:docPartObj>
    </w:sdtPr>
    <w:sdtEndPr/>
    <w:sdtContent>
      <w:sdt>
        <w:sdtPr>
          <w:id w:val="1728636285"/>
          <w:docPartObj>
            <w:docPartGallery w:val="Page Numbers (Top of Page)"/>
            <w:docPartUnique/>
          </w:docPartObj>
        </w:sdtPr>
        <w:sdtEndPr/>
        <w:sdtContent>
          <w:p w:rsidR="00656BCD" w:rsidRDefault="00656BCD">
            <w:pPr>
              <w:pStyle w:val="ad"/>
              <w:jc w:val="center"/>
            </w:pPr>
            <w:r w:rsidRPr="00656BCD">
              <w:rPr>
                <w:rFonts w:asciiTheme="minorEastAsia" w:eastAsiaTheme="minorEastAsia" w:hAnsiTheme="minorEastAsia" w:hint="eastAsia"/>
                <w:sz w:val="21"/>
                <w:szCs w:val="21"/>
              </w:rPr>
              <w:t>第</w:t>
            </w:r>
            <w:r w:rsidRPr="00656BCD">
              <w:rPr>
                <w:rFonts w:asciiTheme="minorEastAsia" w:eastAsiaTheme="minorEastAsia" w:hAnsiTheme="minorEastAsia"/>
                <w:bCs/>
                <w:sz w:val="21"/>
                <w:szCs w:val="21"/>
              </w:rPr>
              <w:fldChar w:fldCharType="begin"/>
            </w:r>
            <w:r w:rsidRPr="00656BCD">
              <w:rPr>
                <w:rFonts w:asciiTheme="minorEastAsia" w:eastAsiaTheme="minorEastAsia" w:hAnsiTheme="minorEastAsia"/>
                <w:bCs/>
                <w:sz w:val="21"/>
                <w:szCs w:val="21"/>
              </w:rPr>
              <w:instrText>PAGE</w:instrText>
            </w:r>
            <w:r w:rsidRPr="00656BCD">
              <w:rPr>
                <w:rFonts w:asciiTheme="minorEastAsia" w:eastAsiaTheme="minorEastAsia" w:hAnsiTheme="minorEastAsia"/>
                <w:bCs/>
                <w:sz w:val="21"/>
                <w:szCs w:val="21"/>
              </w:rPr>
              <w:fldChar w:fldCharType="separate"/>
            </w:r>
            <w:r w:rsidR="00DF25B1">
              <w:rPr>
                <w:rFonts w:asciiTheme="minorEastAsia" w:eastAsiaTheme="minorEastAsia" w:hAnsiTheme="minorEastAsia"/>
                <w:bCs/>
                <w:noProof/>
                <w:sz w:val="21"/>
                <w:szCs w:val="21"/>
              </w:rPr>
              <w:t>15</w:t>
            </w:r>
            <w:r w:rsidRPr="00656BCD">
              <w:rPr>
                <w:rFonts w:asciiTheme="minorEastAsia" w:eastAsiaTheme="minorEastAsia" w:hAnsiTheme="minorEastAsia"/>
                <w:bCs/>
                <w:sz w:val="21"/>
                <w:szCs w:val="21"/>
              </w:rPr>
              <w:fldChar w:fldCharType="end"/>
            </w:r>
            <w:r w:rsidRPr="00656BCD">
              <w:rPr>
                <w:rFonts w:asciiTheme="minorEastAsia" w:eastAsiaTheme="minorEastAsia" w:hAnsiTheme="minorEastAsia" w:hint="eastAsia"/>
                <w:bCs/>
                <w:sz w:val="21"/>
                <w:szCs w:val="21"/>
              </w:rPr>
              <w:t>页</w:t>
            </w:r>
            <w:r>
              <w:rPr>
                <w:rFonts w:asciiTheme="minorEastAsia" w:eastAsiaTheme="minorEastAsia" w:hAnsiTheme="minorEastAsia" w:hint="eastAsia"/>
                <w:bCs/>
                <w:sz w:val="21"/>
                <w:szCs w:val="21"/>
              </w:rPr>
              <w:t xml:space="preserve"> </w:t>
            </w:r>
            <w:r w:rsidRPr="00656BCD">
              <w:rPr>
                <w:rFonts w:asciiTheme="minorEastAsia" w:eastAsiaTheme="minorEastAsia" w:hAnsiTheme="minorEastAsia" w:hint="eastAsia"/>
                <w:bCs/>
                <w:sz w:val="21"/>
                <w:szCs w:val="21"/>
              </w:rPr>
              <w:t>共</w:t>
            </w:r>
            <w:r w:rsidRPr="00656BCD">
              <w:rPr>
                <w:rFonts w:asciiTheme="minorEastAsia" w:eastAsiaTheme="minorEastAsia" w:hAnsiTheme="minorEastAsia"/>
                <w:bCs/>
                <w:sz w:val="21"/>
                <w:szCs w:val="21"/>
              </w:rPr>
              <w:fldChar w:fldCharType="begin"/>
            </w:r>
            <w:r w:rsidRPr="00656BCD">
              <w:rPr>
                <w:rFonts w:asciiTheme="minorEastAsia" w:eastAsiaTheme="minorEastAsia" w:hAnsiTheme="minorEastAsia"/>
                <w:bCs/>
                <w:sz w:val="21"/>
                <w:szCs w:val="21"/>
              </w:rPr>
              <w:instrText>NUMPAGES</w:instrText>
            </w:r>
            <w:r w:rsidRPr="00656BCD">
              <w:rPr>
                <w:rFonts w:asciiTheme="minorEastAsia" w:eastAsiaTheme="minorEastAsia" w:hAnsiTheme="minorEastAsia"/>
                <w:bCs/>
                <w:sz w:val="21"/>
                <w:szCs w:val="21"/>
              </w:rPr>
              <w:fldChar w:fldCharType="separate"/>
            </w:r>
            <w:r w:rsidR="00DF25B1">
              <w:rPr>
                <w:rFonts w:asciiTheme="minorEastAsia" w:eastAsiaTheme="minorEastAsia" w:hAnsiTheme="minorEastAsia"/>
                <w:bCs/>
                <w:noProof/>
                <w:sz w:val="21"/>
                <w:szCs w:val="21"/>
              </w:rPr>
              <w:t>15</w:t>
            </w:r>
            <w:r w:rsidRPr="00656BCD">
              <w:rPr>
                <w:rFonts w:asciiTheme="minorEastAsia" w:eastAsiaTheme="minorEastAsia" w:hAnsiTheme="minorEastAsia"/>
                <w:bCs/>
                <w:sz w:val="21"/>
                <w:szCs w:val="21"/>
              </w:rPr>
              <w:fldChar w:fldCharType="end"/>
            </w:r>
            <w:r w:rsidRPr="00656BCD">
              <w:rPr>
                <w:rFonts w:asciiTheme="minorEastAsia" w:eastAsiaTheme="minorEastAsia" w:hAnsiTheme="minorEastAsia" w:hint="eastAsia"/>
                <w:bCs/>
                <w:sz w:val="21"/>
                <w:szCs w:val="21"/>
              </w:rPr>
              <w:t>页</w:t>
            </w:r>
          </w:p>
        </w:sdtContent>
      </w:sdt>
    </w:sdtContent>
  </w:sdt>
  <w:p w:rsidR="00656BCD" w:rsidRDefault="00656BCD">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798" w:rsidRDefault="00F91798" w:rsidP="00656BCD">
      <w:r>
        <w:separator/>
      </w:r>
    </w:p>
  </w:footnote>
  <w:footnote w:type="continuationSeparator" w:id="0">
    <w:p w:rsidR="00F91798" w:rsidRDefault="00F91798" w:rsidP="00656B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1232A7"/>
    <w:multiLevelType w:val="singleLevel"/>
    <w:tmpl w:val="A01232A7"/>
    <w:lvl w:ilvl="0">
      <w:start w:val="1"/>
      <w:numFmt w:val="chineseCounting"/>
      <w:suff w:val="nothing"/>
      <w:lvlText w:val="（%1）"/>
      <w:lvlJc w:val="left"/>
      <w:rPr>
        <w:rFonts w:hint="eastAsia"/>
      </w:rPr>
    </w:lvl>
  </w:abstractNum>
  <w:abstractNum w:abstractNumId="1" w15:restartNumberingAfterBreak="0">
    <w:nsid w:val="A57C1017"/>
    <w:multiLevelType w:val="singleLevel"/>
    <w:tmpl w:val="A57C1017"/>
    <w:lvl w:ilvl="0">
      <w:start w:val="2"/>
      <w:numFmt w:val="decimal"/>
      <w:lvlText w:val="%1."/>
      <w:lvlJc w:val="left"/>
      <w:pPr>
        <w:tabs>
          <w:tab w:val="left" w:pos="312"/>
        </w:tabs>
      </w:pPr>
    </w:lvl>
  </w:abstractNum>
  <w:abstractNum w:abstractNumId="2" w15:restartNumberingAfterBreak="0">
    <w:nsid w:val="EEDD0BE0"/>
    <w:multiLevelType w:val="singleLevel"/>
    <w:tmpl w:val="EEDD0BE0"/>
    <w:lvl w:ilvl="0">
      <w:start w:val="7"/>
      <w:numFmt w:val="chineseCounting"/>
      <w:suff w:val="nothing"/>
      <w:lvlText w:val="（%1）"/>
      <w:lvlJc w:val="left"/>
      <w:rPr>
        <w:rFonts w:hint="eastAsia"/>
      </w:rPr>
    </w:lvl>
  </w:abstractNum>
  <w:abstractNum w:abstractNumId="3" w15:restartNumberingAfterBreak="0">
    <w:nsid w:val="0C08366E"/>
    <w:multiLevelType w:val="multilevel"/>
    <w:tmpl w:val="0C08366E"/>
    <w:lvl w:ilvl="0">
      <w:start w:val="1"/>
      <w:numFmt w:val="decimal"/>
      <w:lvlText w:val="%1."/>
      <w:lvlJc w:val="left"/>
      <w:pPr>
        <w:ind w:left="1076" w:hanging="440"/>
      </w:pPr>
    </w:lvl>
    <w:lvl w:ilvl="1">
      <w:start w:val="1"/>
      <w:numFmt w:val="lowerLetter"/>
      <w:lvlText w:val="%2)"/>
      <w:lvlJc w:val="left"/>
      <w:pPr>
        <w:ind w:left="1516" w:hanging="440"/>
      </w:pPr>
    </w:lvl>
    <w:lvl w:ilvl="2">
      <w:start w:val="1"/>
      <w:numFmt w:val="lowerRoman"/>
      <w:lvlText w:val="%3."/>
      <w:lvlJc w:val="right"/>
      <w:pPr>
        <w:ind w:left="1956" w:hanging="440"/>
      </w:pPr>
    </w:lvl>
    <w:lvl w:ilvl="3">
      <w:start w:val="1"/>
      <w:numFmt w:val="decimal"/>
      <w:lvlText w:val="%4."/>
      <w:lvlJc w:val="left"/>
      <w:pPr>
        <w:ind w:left="2396" w:hanging="440"/>
      </w:pPr>
    </w:lvl>
    <w:lvl w:ilvl="4">
      <w:start w:val="1"/>
      <w:numFmt w:val="lowerLetter"/>
      <w:lvlText w:val="%5)"/>
      <w:lvlJc w:val="left"/>
      <w:pPr>
        <w:ind w:left="2836" w:hanging="440"/>
      </w:pPr>
    </w:lvl>
    <w:lvl w:ilvl="5">
      <w:start w:val="1"/>
      <w:numFmt w:val="lowerRoman"/>
      <w:lvlText w:val="%6."/>
      <w:lvlJc w:val="right"/>
      <w:pPr>
        <w:ind w:left="3276" w:hanging="440"/>
      </w:pPr>
    </w:lvl>
    <w:lvl w:ilvl="6">
      <w:start w:val="1"/>
      <w:numFmt w:val="decimal"/>
      <w:lvlText w:val="%7."/>
      <w:lvlJc w:val="left"/>
      <w:pPr>
        <w:ind w:left="3716" w:hanging="440"/>
      </w:pPr>
    </w:lvl>
    <w:lvl w:ilvl="7">
      <w:start w:val="1"/>
      <w:numFmt w:val="lowerLetter"/>
      <w:lvlText w:val="%8)"/>
      <w:lvlJc w:val="left"/>
      <w:pPr>
        <w:ind w:left="4156" w:hanging="440"/>
      </w:pPr>
    </w:lvl>
    <w:lvl w:ilvl="8">
      <w:start w:val="1"/>
      <w:numFmt w:val="lowerRoman"/>
      <w:lvlText w:val="%9."/>
      <w:lvlJc w:val="right"/>
      <w:pPr>
        <w:ind w:left="4596" w:hanging="440"/>
      </w:pPr>
    </w:lvl>
  </w:abstractNum>
  <w:abstractNum w:abstractNumId="4" w15:restartNumberingAfterBreak="0">
    <w:nsid w:val="0F7EA926"/>
    <w:multiLevelType w:val="multilevel"/>
    <w:tmpl w:val="B338231E"/>
    <w:lvl w:ilvl="0">
      <w:start w:val="1"/>
      <w:numFmt w:val="decimal"/>
      <w:lvlText w:val="（%1）"/>
      <w:lvlJc w:val="left"/>
      <w:pPr>
        <w:ind w:left="425" w:hanging="425"/>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17D2870"/>
    <w:multiLevelType w:val="multilevel"/>
    <w:tmpl w:val="740A00E8"/>
    <w:lvl w:ilvl="0">
      <w:start w:val="1"/>
      <w:numFmt w:val="decimal"/>
      <w:suff w:val="nothing"/>
      <w:lvlText w:val="（%1）"/>
      <w:lvlJc w:val="left"/>
      <w:pPr>
        <w:ind w:left="425" w:hanging="425"/>
      </w:pPr>
      <w:rPr>
        <w:rFonts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D7F6F1B"/>
    <w:multiLevelType w:val="singleLevel"/>
    <w:tmpl w:val="1F6A7822"/>
    <w:lvl w:ilvl="0">
      <w:start w:val="1"/>
      <w:numFmt w:val="decimal"/>
      <w:lvlText w:val="（%1)"/>
      <w:lvlJc w:val="left"/>
      <w:pPr>
        <w:ind w:left="425" w:hanging="425"/>
      </w:pPr>
      <w:rPr>
        <w:rFonts w:hint="default"/>
      </w:rPr>
    </w:lvl>
  </w:abstractNum>
  <w:abstractNum w:abstractNumId="7" w15:restartNumberingAfterBreak="0">
    <w:nsid w:val="26F96FB0"/>
    <w:multiLevelType w:val="singleLevel"/>
    <w:tmpl w:val="26F96FB0"/>
    <w:lvl w:ilvl="0">
      <w:start w:val="4"/>
      <w:numFmt w:val="decimal"/>
      <w:lvlText w:val="%1."/>
      <w:lvlJc w:val="left"/>
      <w:pPr>
        <w:tabs>
          <w:tab w:val="left" w:pos="312"/>
        </w:tabs>
      </w:pPr>
    </w:lvl>
  </w:abstractNum>
  <w:abstractNum w:abstractNumId="8" w15:restartNumberingAfterBreak="0">
    <w:nsid w:val="29F85346"/>
    <w:multiLevelType w:val="multilevel"/>
    <w:tmpl w:val="29F85346"/>
    <w:lvl w:ilvl="0">
      <w:start w:val="1"/>
      <w:numFmt w:val="chineseCountingThousand"/>
      <w:lvlText w:val="%1、"/>
      <w:lvlJc w:val="left"/>
      <w:pPr>
        <w:ind w:left="440" w:hanging="440"/>
      </w:pPr>
    </w:lvl>
    <w:lvl w:ilvl="1">
      <w:start w:val="1"/>
      <w:numFmt w:val="chineseCountingThousand"/>
      <w:lvlText w:val="(%2)"/>
      <w:lvlJc w:val="left"/>
      <w:pPr>
        <w:ind w:left="880" w:hanging="440"/>
      </w:pPr>
      <w:rPr>
        <w:rFonts w:ascii="黑体" w:eastAsia="黑体" w:hAnsi="黑体"/>
        <w:b/>
        <w:bCs w:val="0"/>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2B08FADE"/>
    <w:multiLevelType w:val="singleLevel"/>
    <w:tmpl w:val="2B08FADE"/>
    <w:lvl w:ilvl="0">
      <w:start w:val="1"/>
      <w:numFmt w:val="decimal"/>
      <w:lvlText w:val="%1)"/>
      <w:lvlJc w:val="left"/>
      <w:pPr>
        <w:ind w:left="425" w:hanging="425"/>
      </w:pPr>
      <w:rPr>
        <w:rFonts w:hint="default"/>
      </w:rPr>
    </w:lvl>
  </w:abstractNum>
  <w:abstractNum w:abstractNumId="10" w15:restartNumberingAfterBreak="0">
    <w:nsid w:val="36FA4EE1"/>
    <w:multiLevelType w:val="multilevel"/>
    <w:tmpl w:val="AF3AD712"/>
    <w:lvl w:ilvl="0">
      <w:start w:val="1"/>
      <w:numFmt w:val="decimal"/>
      <w:suff w:val="nothing"/>
      <w:lvlText w:val="（%1）"/>
      <w:lvlJc w:val="left"/>
      <w:pPr>
        <w:ind w:left="1076" w:hanging="440"/>
      </w:pPr>
      <w:rPr>
        <w:rFonts w:hint="eastAsia"/>
      </w:rPr>
    </w:lvl>
    <w:lvl w:ilvl="1">
      <w:start w:val="1"/>
      <w:numFmt w:val="lowerLetter"/>
      <w:lvlText w:val="%2)"/>
      <w:lvlJc w:val="left"/>
      <w:pPr>
        <w:ind w:left="1516" w:hanging="440"/>
      </w:pPr>
    </w:lvl>
    <w:lvl w:ilvl="2">
      <w:start w:val="1"/>
      <w:numFmt w:val="lowerRoman"/>
      <w:lvlText w:val="%3."/>
      <w:lvlJc w:val="right"/>
      <w:pPr>
        <w:ind w:left="1956" w:hanging="440"/>
      </w:pPr>
    </w:lvl>
    <w:lvl w:ilvl="3">
      <w:start w:val="1"/>
      <w:numFmt w:val="decimal"/>
      <w:lvlText w:val="%4."/>
      <w:lvlJc w:val="left"/>
      <w:pPr>
        <w:ind w:left="2396" w:hanging="440"/>
      </w:pPr>
    </w:lvl>
    <w:lvl w:ilvl="4">
      <w:start w:val="1"/>
      <w:numFmt w:val="lowerLetter"/>
      <w:lvlText w:val="%5)"/>
      <w:lvlJc w:val="left"/>
      <w:pPr>
        <w:ind w:left="2836" w:hanging="440"/>
      </w:pPr>
    </w:lvl>
    <w:lvl w:ilvl="5">
      <w:start w:val="1"/>
      <w:numFmt w:val="lowerRoman"/>
      <w:lvlText w:val="%6."/>
      <w:lvlJc w:val="right"/>
      <w:pPr>
        <w:ind w:left="3276" w:hanging="440"/>
      </w:pPr>
    </w:lvl>
    <w:lvl w:ilvl="6">
      <w:start w:val="1"/>
      <w:numFmt w:val="decimal"/>
      <w:lvlText w:val="%7."/>
      <w:lvlJc w:val="left"/>
      <w:pPr>
        <w:ind w:left="3716" w:hanging="440"/>
      </w:pPr>
    </w:lvl>
    <w:lvl w:ilvl="7">
      <w:start w:val="1"/>
      <w:numFmt w:val="lowerLetter"/>
      <w:lvlText w:val="%8)"/>
      <w:lvlJc w:val="left"/>
      <w:pPr>
        <w:ind w:left="4156" w:hanging="440"/>
      </w:pPr>
    </w:lvl>
    <w:lvl w:ilvl="8">
      <w:start w:val="1"/>
      <w:numFmt w:val="lowerRoman"/>
      <w:lvlText w:val="%9."/>
      <w:lvlJc w:val="right"/>
      <w:pPr>
        <w:ind w:left="4596" w:hanging="440"/>
      </w:pPr>
    </w:lvl>
  </w:abstractNum>
  <w:abstractNum w:abstractNumId="11" w15:restartNumberingAfterBreak="0">
    <w:nsid w:val="49955A48"/>
    <w:multiLevelType w:val="singleLevel"/>
    <w:tmpl w:val="6444FF58"/>
    <w:lvl w:ilvl="0">
      <w:start w:val="1"/>
      <w:numFmt w:val="decimal"/>
      <w:pStyle w:val="a"/>
      <w:lvlText w:val="（%1)"/>
      <w:lvlJc w:val="left"/>
      <w:pPr>
        <w:ind w:left="425" w:hanging="425"/>
      </w:pPr>
      <w:rPr>
        <w:rFonts w:hint="default"/>
      </w:rPr>
    </w:lvl>
  </w:abstractNum>
  <w:abstractNum w:abstractNumId="12" w15:restartNumberingAfterBreak="0">
    <w:nsid w:val="49D06536"/>
    <w:multiLevelType w:val="singleLevel"/>
    <w:tmpl w:val="49D06536"/>
    <w:lvl w:ilvl="0">
      <w:start w:val="1"/>
      <w:numFmt w:val="decimal"/>
      <w:suff w:val="nothing"/>
      <w:lvlText w:val="%1．"/>
      <w:lvlJc w:val="left"/>
      <w:pPr>
        <w:ind w:left="0" w:firstLine="400"/>
      </w:pPr>
      <w:rPr>
        <w:rFonts w:hint="default"/>
      </w:rPr>
    </w:lvl>
  </w:abstractNum>
  <w:abstractNum w:abstractNumId="13" w15:restartNumberingAfterBreak="0">
    <w:nsid w:val="59CE7C6E"/>
    <w:multiLevelType w:val="multilevel"/>
    <w:tmpl w:val="F39E8AFA"/>
    <w:lvl w:ilvl="0">
      <w:start w:val="1"/>
      <w:numFmt w:val="decimal"/>
      <w:suff w:val="nothing"/>
      <w:lvlText w:val="（%1）"/>
      <w:lvlJc w:val="left"/>
      <w:pPr>
        <w:ind w:left="1076" w:hanging="440"/>
      </w:pPr>
      <w:rPr>
        <w:rFonts w:hint="eastAsia"/>
      </w:rPr>
    </w:lvl>
    <w:lvl w:ilvl="1">
      <w:start w:val="1"/>
      <w:numFmt w:val="lowerLetter"/>
      <w:lvlText w:val="%2)"/>
      <w:lvlJc w:val="left"/>
      <w:pPr>
        <w:ind w:left="1516" w:hanging="440"/>
      </w:pPr>
    </w:lvl>
    <w:lvl w:ilvl="2">
      <w:start w:val="1"/>
      <w:numFmt w:val="lowerRoman"/>
      <w:lvlText w:val="%3."/>
      <w:lvlJc w:val="right"/>
      <w:pPr>
        <w:ind w:left="1956" w:hanging="440"/>
      </w:pPr>
    </w:lvl>
    <w:lvl w:ilvl="3">
      <w:start w:val="1"/>
      <w:numFmt w:val="decimal"/>
      <w:lvlText w:val="%4."/>
      <w:lvlJc w:val="left"/>
      <w:pPr>
        <w:ind w:left="2396" w:hanging="440"/>
      </w:pPr>
    </w:lvl>
    <w:lvl w:ilvl="4">
      <w:start w:val="1"/>
      <w:numFmt w:val="lowerLetter"/>
      <w:lvlText w:val="%5)"/>
      <w:lvlJc w:val="left"/>
      <w:pPr>
        <w:ind w:left="2836" w:hanging="440"/>
      </w:pPr>
    </w:lvl>
    <w:lvl w:ilvl="5">
      <w:start w:val="1"/>
      <w:numFmt w:val="lowerRoman"/>
      <w:lvlText w:val="%6."/>
      <w:lvlJc w:val="right"/>
      <w:pPr>
        <w:ind w:left="3276" w:hanging="440"/>
      </w:pPr>
    </w:lvl>
    <w:lvl w:ilvl="6">
      <w:start w:val="1"/>
      <w:numFmt w:val="decimal"/>
      <w:lvlText w:val="%7."/>
      <w:lvlJc w:val="left"/>
      <w:pPr>
        <w:ind w:left="3716" w:hanging="440"/>
      </w:pPr>
    </w:lvl>
    <w:lvl w:ilvl="7">
      <w:start w:val="1"/>
      <w:numFmt w:val="lowerLetter"/>
      <w:lvlText w:val="%8)"/>
      <w:lvlJc w:val="left"/>
      <w:pPr>
        <w:ind w:left="4156" w:hanging="440"/>
      </w:pPr>
    </w:lvl>
    <w:lvl w:ilvl="8">
      <w:start w:val="1"/>
      <w:numFmt w:val="lowerRoman"/>
      <w:lvlText w:val="%9."/>
      <w:lvlJc w:val="right"/>
      <w:pPr>
        <w:ind w:left="4596" w:hanging="440"/>
      </w:pPr>
    </w:lvl>
  </w:abstractNum>
  <w:abstractNum w:abstractNumId="14"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0"/>
      <w:suff w:val="nothing"/>
      <w:lvlText w:val="%1%2.%3.%4　"/>
      <w:lvlJc w:val="left"/>
      <w:pPr>
        <w:ind w:left="0" w:firstLine="0"/>
      </w:pPr>
      <w:rPr>
        <w:rFonts w:ascii="黑体" w:eastAsia="黑体" w:hint="eastAsia"/>
        <w:b w:val="0"/>
        <w:i w:val="0"/>
        <w:sz w:val="21"/>
      </w:rPr>
    </w:lvl>
    <w:lvl w:ilvl="4">
      <w:start w:val="1"/>
      <w:numFmt w:val="decimal"/>
      <w:pStyle w:val="a1"/>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15:restartNumberingAfterBreak="0">
    <w:nsid w:val="720A283D"/>
    <w:multiLevelType w:val="multilevel"/>
    <w:tmpl w:val="A44C82BA"/>
    <w:lvl w:ilvl="0">
      <w:start w:val="1"/>
      <w:numFmt w:val="decimal"/>
      <w:lvlText w:val="（%1）"/>
      <w:lvlJc w:val="left"/>
      <w:pPr>
        <w:ind w:left="425" w:hanging="425"/>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74A648A5"/>
    <w:multiLevelType w:val="multilevel"/>
    <w:tmpl w:val="68A0622C"/>
    <w:lvl w:ilvl="0">
      <w:start w:val="1"/>
      <w:numFmt w:val="decimal"/>
      <w:suff w:val="nothing"/>
      <w:lvlText w:val="（%1）"/>
      <w:lvlJc w:val="left"/>
      <w:pPr>
        <w:ind w:left="1076" w:hanging="440"/>
      </w:pPr>
      <w:rPr>
        <w:rFonts w:hint="eastAsia"/>
      </w:rPr>
    </w:lvl>
    <w:lvl w:ilvl="1">
      <w:start w:val="1"/>
      <w:numFmt w:val="lowerLetter"/>
      <w:lvlText w:val="%2)"/>
      <w:lvlJc w:val="left"/>
      <w:pPr>
        <w:ind w:left="1516" w:hanging="440"/>
      </w:pPr>
    </w:lvl>
    <w:lvl w:ilvl="2">
      <w:start w:val="1"/>
      <w:numFmt w:val="lowerRoman"/>
      <w:lvlText w:val="%3."/>
      <w:lvlJc w:val="right"/>
      <w:pPr>
        <w:ind w:left="1956" w:hanging="440"/>
      </w:pPr>
    </w:lvl>
    <w:lvl w:ilvl="3">
      <w:start w:val="1"/>
      <w:numFmt w:val="decimal"/>
      <w:lvlText w:val="%4."/>
      <w:lvlJc w:val="left"/>
      <w:pPr>
        <w:ind w:left="2396" w:hanging="440"/>
      </w:pPr>
    </w:lvl>
    <w:lvl w:ilvl="4">
      <w:start w:val="1"/>
      <w:numFmt w:val="lowerLetter"/>
      <w:lvlText w:val="%5)"/>
      <w:lvlJc w:val="left"/>
      <w:pPr>
        <w:ind w:left="2836" w:hanging="440"/>
      </w:pPr>
    </w:lvl>
    <w:lvl w:ilvl="5">
      <w:start w:val="1"/>
      <w:numFmt w:val="lowerRoman"/>
      <w:lvlText w:val="%6."/>
      <w:lvlJc w:val="right"/>
      <w:pPr>
        <w:ind w:left="3276" w:hanging="440"/>
      </w:pPr>
    </w:lvl>
    <w:lvl w:ilvl="6">
      <w:start w:val="1"/>
      <w:numFmt w:val="decimal"/>
      <w:lvlText w:val="%7."/>
      <w:lvlJc w:val="left"/>
      <w:pPr>
        <w:ind w:left="3716" w:hanging="440"/>
      </w:pPr>
    </w:lvl>
    <w:lvl w:ilvl="7">
      <w:start w:val="1"/>
      <w:numFmt w:val="lowerLetter"/>
      <w:lvlText w:val="%8)"/>
      <w:lvlJc w:val="left"/>
      <w:pPr>
        <w:ind w:left="4156" w:hanging="440"/>
      </w:pPr>
    </w:lvl>
    <w:lvl w:ilvl="8">
      <w:start w:val="1"/>
      <w:numFmt w:val="lowerRoman"/>
      <w:lvlText w:val="%9."/>
      <w:lvlJc w:val="right"/>
      <w:pPr>
        <w:ind w:left="4596" w:hanging="440"/>
      </w:pPr>
    </w:lvl>
  </w:abstractNum>
  <w:abstractNum w:abstractNumId="17" w15:restartNumberingAfterBreak="0">
    <w:nsid w:val="78175A20"/>
    <w:multiLevelType w:val="multilevel"/>
    <w:tmpl w:val="78175A20"/>
    <w:lvl w:ilvl="0">
      <w:start w:val="1"/>
      <w:numFmt w:val="decimal"/>
      <w:lvlText w:val="%1."/>
      <w:lvlJc w:val="left"/>
      <w:pPr>
        <w:ind w:left="1076" w:hanging="440"/>
      </w:pPr>
      <w:rPr>
        <w:rFonts w:ascii="仿宋" w:eastAsia="仿宋" w:hAnsi="仿宋"/>
        <w:sz w:val="32"/>
        <w:szCs w:val="32"/>
      </w:rPr>
    </w:lvl>
    <w:lvl w:ilvl="1">
      <w:start w:val="1"/>
      <w:numFmt w:val="lowerLetter"/>
      <w:lvlText w:val="%2)"/>
      <w:lvlJc w:val="left"/>
      <w:pPr>
        <w:ind w:left="1516" w:hanging="440"/>
      </w:pPr>
    </w:lvl>
    <w:lvl w:ilvl="2">
      <w:start w:val="1"/>
      <w:numFmt w:val="lowerRoman"/>
      <w:lvlText w:val="%3."/>
      <w:lvlJc w:val="right"/>
      <w:pPr>
        <w:ind w:left="1956" w:hanging="440"/>
      </w:pPr>
    </w:lvl>
    <w:lvl w:ilvl="3">
      <w:start w:val="1"/>
      <w:numFmt w:val="decimal"/>
      <w:lvlText w:val="%4."/>
      <w:lvlJc w:val="left"/>
      <w:pPr>
        <w:ind w:left="2396" w:hanging="440"/>
      </w:pPr>
    </w:lvl>
    <w:lvl w:ilvl="4">
      <w:start w:val="1"/>
      <w:numFmt w:val="lowerLetter"/>
      <w:lvlText w:val="%5)"/>
      <w:lvlJc w:val="left"/>
      <w:pPr>
        <w:ind w:left="2836" w:hanging="440"/>
      </w:pPr>
    </w:lvl>
    <w:lvl w:ilvl="5">
      <w:start w:val="1"/>
      <w:numFmt w:val="lowerRoman"/>
      <w:lvlText w:val="%6."/>
      <w:lvlJc w:val="right"/>
      <w:pPr>
        <w:ind w:left="3276" w:hanging="440"/>
      </w:pPr>
    </w:lvl>
    <w:lvl w:ilvl="6">
      <w:start w:val="1"/>
      <w:numFmt w:val="decimal"/>
      <w:lvlText w:val="%7."/>
      <w:lvlJc w:val="left"/>
      <w:pPr>
        <w:ind w:left="3716" w:hanging="440"/>
      </w:pPr>
    </w:lvl>
    <w:lvl w:ilvl="7">
      <w:start w:val="1"/>
      <w:numFmt w:val="lowerLetter"/>
      <w:lvlText w:val="%8)"/>
      <w:lvlJc w:val="left"/>
      <w:pPr>
        <w:ind w:left="4156" w:hanging="440"/>
      </w:pPr>
    </w:lvl>
    <w:lvl w:ilvl="8">
      <w:start w:val="1"/>
      <w:numFmt w:val="lowerRoman"/>
      <w:lvlText w:val="%9."/>
      <w:lvlJc w:val="right"/>
      <w:pPr>
        <w:ind w:left="4596" w:hanging="440"/>
      </w:pPr>
    </w:lvl>
  </w:abstractNum>
  <w:num w:numId="1">
    <w:abstractNumId w:val="3"/>
  </w:num>
  <w:num w:numId="2">
    <w:abstractNumId w:val="14"/>
  </w:num>
  <w:num w:numId="3">
    <w:abstractNumId w:val="8"/>
  </w:num>
  <w:num w:numId="4">
    <w:abstractNumId w:val="0"/>
  </w:num>
  <w:num w:numId="5">
    <w:abstractNumId w:val="10"/>
  </w:num>
  <w:num w:numId="6">
    <w:abstractNumId w:val="16"/>
  </w:num>
  <w:num w:numId="7">
    <w:abstractNumId w:val="1"/>
  </w:num>
  <w:num w:numId="8">
    <w:abstractNumId w:val="13"/>
  </w:num>
  <w:num w:numId="9">
    <w:abstractNumId w:val="7"/>
  </w:num>
  <w:num w:numId="10">
    <w:abstractNumId w:val="5"/>
  </w:num>
  <w:num w:numId="11">
    <w:abstractNumId w:val="2"/>
  </w:num>
  <w:num w:numId="12">
    <w:abstractNumId w:val="17"/>
  </w:num>
  <w:num w:numId="13">
    <w:abstractNumId w:val="11"/>
  </w:num>
  <w:num w:numId="14">
    <w:abstractNumId w:val="6"/>
  </w:num>
  <w:num w:numId="15">
    <w:abstractNumId w:val="9"/>
  </w:num>
  <w:num w:numId="16">
    <w:abstractNumId w:val="12"/>
  </w:num>
  <w:num w:numId="17">
    <w:abstractNumId w:val="15"/>
  </w:num>
  <w:num w:numId="18">
    <w:abstractNumId w:val="4"/>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TrueTypeFonts/>
  <w:saveSubsetFonts/>
  <w:bordersDoNotSurroundHeader/>
  <w:bordersDoNotSurroundFooter/>
  <w:hideSpellingErrors/>
  <w:proofState w:spelling="clean" w:grammar="clean"/>
  <w:defaultTabStop w:val="21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lYzhkY2FiOTA5MjkyZjIyMDg5Y2JjZGU5MTJjNzYifQ=="/>
  </w:docVars>
  <w:rsids>
    <w:rsidRoot w:val="004570CA"/>
    <w:rsid w:val="000002D3"/>
    <w:rsid w:val="000029D8"/>
    <w:rsid w:val="00006F09"/>
    <w:rsid w:val="00007619"/>
    <w:rsid w:val="0001152E"/>
    <w:rsid w:val="0001679C"/>
    <w:rsid w:val="00030133"/>
    <w:rsid w:val="00031D4C"/>
    <w:rsid w:val="0004774A"/>
    <w:rsid w:val="000555EF"/>
    <w:rsid w:val="000724B5"/>
    <w:rsid w:val="00082B59"/>
    <w:rsid w:val="0009621B"/>
    <w:rsid w:val="00097BDE"/>
    <w:rsid w:val="000A07B2"/>
    <w:rsid w:val="000A241F"/>
    <w:rsid w:val="000A36AA"/>
    <w:rsid w:val="000A58C6"/>
    <w:rsid w:val="000A7342"/>
    <w:rsid w:val="000A7AE7"/>
    <w:rsid w:val="000B0AC0"/>
    <w:rsid w:val="000B3761"/>
    <w:rsid w:val="000B3959"/>
    <w:rsid w:val="000C025A"/>
    <w:rsid w:val="000C1DC3"/>
    <w:rsid w:val="000C49E7"/>
    <w:rsid w:val="000C4D82"/>
    <w:rsid w:val="000C5C75"/>
    <w:rsid w:val="000D3024"/>
    <w:rsid w:val="000F4574"/>
    <w:rsid w:val="000F7EEE"/>
    <w:rsid w:val="00103AE6"/>
    <w:rsid w:val="00104F81"/>
    <w:rsid w:val="0010560B"/>
    <w:rsid w:val="001115D2"/>
    <w:rsid w:val="00117589"/>
    <w:rsid w:val="001178EC"/>
    <w:rsid w:val="00120B75"/>
    <w:rsid w:val="00125217"/>
    <w:rsid w:val="001277D2"/>
    <w:rsid w:val="00132818"/>
    <w:rsid w:val="00136375"/>
    <w:rsid w:val="0014054F"/>
    <w:rsid w:val="001424D7"/>
    <w:rsid w:val="00155636"/>
    <w:rsid w:val="00156D3E"/>
    <w:rsid w:val="00161672"/>
    <w:rsid w:val="00163043"/>
    <w:rsid w:val="00166AFF"/>
    <w:rsid w:val="001711CA"/>
    <w:rsid w:val="00171C36"/>
    <w:rsid w:val="00172A01"/>
    <w:rsid w:val="00180D16"/>
    <w:rsid w:val="00181DF4"/>
    <w:rsid w:val="00182060"/>
    <w:rsid w:val="001840CF"/>
    <w:rsid w:val="001851A0"/>
    <w:rsid w:val="001968F4"/>
    <w:rsid w:val="001A0557"/>
    <w:rsid w:val="001A40A9"/>
    <w:rsid w:val="001A7AC2"/>
    <w:rsid w:val="001B15D8"/>
    <w:rsid w:val="001B627C"/>
    <w:rsid w:val="001C146A"/>
    <w:rsid w:val="001C5EC4"/>
    <w:rsid w:val="001C7784"/>
    <w:rsid w:val="001D17B0"/>
    <w:rsid w:val="001D196B"/>
    <w:rsid w:val="001D2667"/>
    <w:rsid w:val="001D2CD1"/>
    <w:rsid w:val="001D336E"/>
    <w:rsid w:val="001D43C7"/>
    <w:rsid w:val="001D5697"/>
    <w:rsid w:val="001D7EB7"/>
    <w:rsid w:val="001E274A"/>
    <w:rsid w:val="001E32B6"/>
    <w:rsid w:val="001F355B"/>
    <w:rsid w:val="001F5607"/>
    <w:rsid w:val="00204A7A"/>
    <w:rsid w:val="00210A04"/>
    <w:rsid w:val="0021679D"/>
    <w:rsid w:val="00216E1E"/>
    <w:rsid w:val="00217AC3"/>
    <w:rsid w:val="00221A27"/>
    <w:rsid w:val="00227969"/>
    <w:rsid w:val="00230E6D"/>
    <w:rsid w:val="002406A1"/>
    <w:rsid w:val="00240829"/>
    <w:rsid w:val="00246677"/>
    <w:rsid w:val="00250B1D"/>
    <w:rsid w:val="002517CC"/>
    <w:rsid w:val="00253170"/>
    <w:rsid w:val="00262140"/>
    <w:rsid w:val="00264A66"/>
    <w:rsid w:val="0026604B"/>
    <w:rsid w:val="00266467"/>
    <w:rsid w:val="00267F34"/>
    <w:rsid w:val="0027025B"/>
    <w:rsid w:val="00271415"/>
    <w:rsid w:val="00271B38"/>
    <w:rsid w:val="0027226C"/>
    <w:rsid w:val="00281AA9"/>
    <w:rsid w:val="0028751F"/>
    <w:rsid w:val="00290AAC"/>
    <w:rsid w:val="00292D64"/>
    <w:rsid w:val="002A0455"/>
    <w:rsid w:val="002A692B"/>
    <w:rsid w:val="002B31A1"/>
    <w:rsid w:val="002B5B42"/>
    <w:rsid w:val="002B636F"/>
    <w:rsid w:val="002B653D"/>
    <w:rsid w:val="002C2FF6"/>
    <w:rsid w:val="002C3946"/>
    <w:rsid w:val="002D0199"/>
    <w:rsid w:val="002D0657"/>
    <w:rsid w:val="002D5604"/>
    <w:rsid w:val="002D617D"/>
    <w:rsid w:val="002D6656"/>
    <w:rsid w:val="002E0699"/>
    <w:rsid w:val="002E257B"/>
    <w:rsid w:val="002F210F"/>
    <w:rsid w:val="002F42F0"/>
    <w:rsid w:val="00300D4D"/>
    <w:rsid w:val="003046E1"/>
    <w:rsid w:val="0030550E"/>
    <w:rsid w:val="00306885"/>
    <w:rsid w:val="00306E22"/>
    <w:rsid w:val="00310AC1"/>
    <w:rsid w:val="00336FB7"/>
    <w:rsid w:val="00345D79"/>
    <w:rsid w:val="003503AE"/>
    <w:rsid w:val="003517E2"/>
    <w:rsid w:val="003573DD"/>
    <w:rsid w:val="00360B64"/>
    <w:rsid w:val="00364DDB"/>
    <w:rsid w:val="00370AD2"/>
    <w:rsid w:val="00375F61"/>
    <w:rsid w:val="00376213"/>
    <w:rsid w:val="00377BF3"/>
    <w:rsid w:val="00387DC9"/>
    <w:rsid w:val="003A08C9"/>
    <w:rsid w:val="003A6F97"/>
    <w:rsid w:val="003A7F68"/>
    <w:rsid w:val="003B0378"/>
    <w:rsid w:val="003B5C7E"/>
    <w:rsid w:val="003B7EF1"/>
    <w:rsid w:val="003C0A67"/>
    <w:rsid w:val="003C11B5"/>
    <w:rsid w:val="003C38F8"/>
    <w:rsid w:val="003C62DE"/>
    <w:rsid w:val="003C6B05"/>
    <w:rsid w:val="003D2AED"/>
    <w:rsid w:val="003D353C"/>
    <w:rsid w:val="003D5B8A"/>
    <w:rsid w:val="003D77F0"/>
    <w:rsid w:val="003E1298"/>
    <w:rsid w:val="003E7EDA"/>
    <w:rsid w:val="003F1F3E"/>
    <w:rsid w:val="003F5A8E"/>
    <w:rsid w:val="003F67AE"/>
    <w:rsid w:val="004036E8"/>
    <w:rsid w:val="004072AF"/>
    <w:rsid w:val="004104EC"/>
    <w:rsid w:val="00413065"/>
    <w:rsid w:val="00414653"/>
    <w:rsid w:val="004166A1"/>
    <w:rsid w:val="00425E7F"/>
    <w:rsid w:val="0042713F"/>
    <w:rsid w:val="00427C96"/>
    <w:rsid w:val="00437A74"/>
    <w:rsid w:val="004425B3"/>
    <w:rsid w:val="00442BD1"/>
    <w:rsid w:val="00444449"/>
    <w:rsid w:val="00454385"/>
    <w:rsid w:val="004570CA"/>
    <w:rsid w:val="00457FCB"/>
    <w:rsid w:val="00471159"/>
    <w:rsid w:val="004724BA"/>
    <w:rsid w:val="0048104B"/>
    <w:rsid w:val="00481870"/>
    <w:rsid w:val="00482DFD"/>
    <w:rsid w:val="004860DF"/>
    <w:rsid w:val="00490C62"/>
    <w:rsid w:val="0049324F"/>
    <w:rsid w:val="004937DB"/>
    <w:rsid w:val="00495905"/>
    <w:rsid w:val="004A0B73"/>
    <w:rsid w:val="004A27A1"/>
    <w:rsid w:val="004B25A3"/>
    <w:rsid w:val="004B4064"/>
    <w:rsid w:val="004B708C"/>
    <w:rsid w:val="004E3AC6"/>
    <w:rsid w:val="004E4B79"/>
    <w:rsid w:val="004E67BA"/>
    <w:rsid w:val="004F2AB8"/>
    <w:rsid w:val="004F5B63"/>
    <w:rsid w:val="00500466"/>
    <w:rsid w:val="00502FA1"/>
    <w:rsid w:val="00504D59"/>
    <w:rsid w:val="00530C21"/>
    <w:rsid w:val="00536431"/>
    <w:rsid w:val="00540052"/>
    <w:rsid w:val="00545919"/>
    <w:rsid w:val="0055240A"/>
    <w:rsid w:val="00557C7F"/>
    <w:rsid w:val="0057508B"/>
    <w:rsid w:val="005A26B1"/>
    <w:rsid w:val="005A63F7"/>
    <w:rsid w:val="005B11E4"/>
    <w:rsid w:val="005B1958"/>
    <w:rsid w:val="005B1D27"/>
    <w:rsid w:val="005B7922"/>
    <w:rsid w:val="005C3A0F"/>
    <w:rsid w:val="005C7A50"/>
    <w:rsid w:val="005C7F50"/>
    <w:rsid w:val="005D084B"/>
    <w:rsid w:val="005D0C99"/>
    <w:rsid w:val="005D1C13"/>
    <w:rsid w:val="005E1C9C"/>
    <w:rsid w:val="005E2B57"/>
    <w:rsid w:val="005E3F38"/>
    <w:rsid w:val="005E7F87"/>
    <w:rsid w:val="005F10A2"/>
    <w:rsid w:val="006008EB"/>
    <w:rsid w:val="00617AC8"/>
    <w:rsid w:val="006225C7"/>
    <w:rsid w:val="0062562A"/>
    <w:rsid w:val="00634189"/>
    <w:rsid w:val="0065246D"/>
    <w:rsid w:val="00655CBD"/>
    <w:rsid w:val="00656BCD"/>
    <w:rsid w:val="0066244F"/>
    <w:rsid w:val="006660F8"/>
    <w:rsid w:val="006704F2"/>
    <w:rsid w:val="006710A4"/>
    <w:rsid w:val="00680B79"/>
    <w:rsid w:val="00683FA6"/>
    <w:rsid w:val="006859F7"/>
    <w:rsid w:val="006B34BD"/>
    <w:rsid w:val="006B4F71"/>
    <w:rsid w:val="006C0074"/>
    <w:rsid w:val="006D6B82"/>
    <w:rsid w:val="006E4DD3"/>
    <w:rsid w:val="006F4483"/>
    <w:rsid w:val="0070438B"/>
    <w:rsid w:val="007048DB"/>
    <w:rsid w:val="00705AB6"/>
    <w:rsid w:val="007065C5"/>
    <w:rsid w:val="00715596"/>
    <w:rsid w:val="00722E53"/>
    <w:rsid w:val="00723442"/>
    <w:rsid w:val="00723450"/>
    <w:rsid w:val="0073393F"/>
    <w:rsid w:val="00735A72"/>
    <w:rsid w:val="007409EC"/>
    <w:rsid w:val="007427C3"/>
    <w:rsid w:val="00752653"/>
    <w:rsid w:val="0075647C"/>
    <w:rsid w:val="00756D35"/>
    <w:rsid w:val="00765467"/>
    <w:rsid w:val="007660D5"/>
    <w:rsid w:val="00773BFB"/>
    <w:rsid w:val="00784351"/>
    <w:rsid w:val="007861F7"/>
    <w:rsid w:val="007901CF"/>
    <w:rsid w:val="007B457F"/>
    <w:rsid w:val="007B58E7"/>
    <w:rsid w:val="007B6211"/>
    <w:rsid w:val="007B76A3"/>
    <w:rsid w:val="007B7A42"/>
    <w:rsid w:val="007D6458"/>
    <w:rsid w:val="007D76CD"/>
    <w:rsid w:val="007D7B6D"/>
    <w:rsid w:val="007F70B5"/>
    <w:rsid w:val="00807173"/>
    <w:rsid w:val="00813B48"/>
    <w:rsid w:val="00824666"/>
    <w:rsid w:val="0083402C"/>
    <w:rsid w:val="008341DA"/>
    <w:rsid w:val="00841C2C"/>
    <w:rsid w:val="008426CD"/>
    <w:rsid w:val="008451CF"/>
    <w:rsid w:val="008460F1"/>
    <w:rsid w:val="0085030C"/>
    <w:rsid w:val="00851CEA"/>
    <w:rsid w:val="00853A28"/>
    <w:rsid w:val="008559E9"/>
    <w:rsid w:val="008613B5"/>
    <w:rsid w:val="0087550D"/>
    <w:rsid w:val="00875547"/>
    <w:rsid w:val="00875634"/>
    <w:rsid w:val="008803A8"/>
    <w:rsid w:val="00886088"/>
    <w:rsid w:val="0088661C"/>
    <w:rsid w:val="00890421"/>
    <w:rsid w:val="00897ACB"/>
    <w:rsid w:val="008A0301"/>
    <w:rsid w:val="008A0FB2"/>
    <w:rsid w:val="008B1810"/>
    <w:rsid w:val="008C09E3"/>
    <w:rsid w:val="008C1025"/>
    <w:rsid w:val="008D6848"/>
    <w:rsid w:val="008E2D44"/>
    <w:rsid w:val="008F5C7D"/>
    <w:rsid w:val="008F699E"/>
    <w:rsid w:val="00902214"/>
    <w:rsid w:val="009031AC"/>
    <w:rsid w:val="00904D11"/>
    <w:rsid w:val="00906444"/>
    <w:rsid w:val="0091503B"/>
    <w:rsid w:val="00920BF7"/>
    <w:rsid w:val="00922705"/>
    <w:rsid w:val="00924D29"/>
    <w:rsid w:val="0092700C"/>
    <w:rsid w:val="00930197"/>
    <w:rsid w:val="0093038B"/>
    <w:rsid w:val="0093400E"/>
    <w:rsid w:val="009367AA"/>
    <w:rsid w:val="009418E5"/>
    <w:rsid w:val="00946418"/>
    <w:rsid w:val="00946957"/>
    <w:rsid w:val="00955256"/>
    <w:rsid w:val="00963326"/>
    <w:rsid w:val="009637FA"/>
    <w:rsid w:val="0096759D"/>
    <w:rsid w:val="00976A89"/>
    <w:rsid w:val="009773F7"/>
    <w:rsid w:val="0098759D"/>
    <w:rsid w:val="00992082"/>
    <w:rsid w:val="00995FF2"/>
    <w:rsid w:val="009A42C2"/>
    <w:rsid w:val="009A6057"/>
    <w:rsid w:val="009A6A77"/>
    <w:rsid w:val="009B09E7"/>
    <w:rsid w:val="009B1814"/>
    <w:rsid w:val="009B2930"/>
    <w:rsid w:val="009C079F"/>
    <w:rsid w:val="009D078F"/>
    <w:rsid w:val="009D561B"/>
    <w:rsid w:val="009D5F53"/>
    <w:rsid w:val="009F2D23"/>
    <w:rsid w:val="00A05EEE"/>
    <w:rsid w:val="00A069D4"/>
    <w:rsid w:val="00A0735E"/>
    <w:rsid w:val="00A12425"/>
    <w:rsid w:val="00A15220"/>
    <w:rsid w:val="00A32CBE"/>
    <w:rsid w:val="00A40FF2"/>
    <w:rsid w:val="00A45C4C"/>
    <w:rsid w:val="00A52947"/>
    <w:rsid w:val="00A547B5"/>
    <w:rsid w:val="00A57D57"/>
    <w:rsid w:val="00A60159"/>
    <w:rsid w:val="00A60CE5"/>
    <w:rsid w:val="00A6350A"/>
    <w:rsid w:val="00A63B4F"/>
    <w:rsid w:val="00A86DAE"/>
    <w:rsid w:val="00A871A7"/>
    <w:rsid w:val="00A96D77"/>
    <w:rsid w:val="00AA14F5"/>
    <w:rsid w:val="00AA1CDF"/>
    <w:rsid w:val="00AA6F60"/>
    <w:rsid w:val="00AA7D46"/>
    <w:rsid w:val="00AB047B"/>
    <w:rsid w:val="00AB5FB2"/>
    <w:rsid w:val="00AB6749"/>
    <w:rsid w:val="00AC0893"/>
    <w:rsid w:val="00AC4B62"/>
    <w:rsid w:val="00AC4DEA"/>
    <w:rsid w:val="00AC60C8"/>
    <w:rsid w:val="00AD082E"/>
    <w:rsid w:val="00AD690B"/>
    <w:rsid w:val="00AE7177"/>
    <w:rsid w:val="00AF1532"/>
    <w:rsid w:val="00AF1ECB"/>
    <w:rsid w:val="00AF2C8C"/>
    <w:rsid w:val="00AF2EBC"/>
    <w:rsid w:val="00AF4A51"/>
    <w:rsid w:val="00AF5F44"/>
    <w:rsid w:val="00B112D1"/>
    <w:rsid w:val="00B117DC"/>
    <w:rsid w:val="00B11872"/>
    <w:rsid w:val="00B1591E"/>
    <w:rsid w:val="00B221E8"/>
    <w:rsid w:val="00B22BA0"/>
    <w:rsid w:val="00B23F2E"/>
    <w:rsid w:val="00B25D0C"/>
    <w:rsid w:val="00B27269"/>
    <w:rsid w:val="00B30762"/>
    <w:rsid w:val="00B36C00"/>
    <w:rsid w:val="00B444EE"/>
    <w:rsid w:val="00B63CC3"/>
    <w:rsid w:val="00B72C24"/>
    <w:rsid w:val="00B73CEA"/>
    <w:rsid w:val="00B7436B"/>
    <w:rsid w:val="00B751D4"/>
    <w:rsid w:val="00B8724C"/>
    <w:rsid w:val="00B97EA6"/>
    <w:rsid w:val="00BA036F"/>
    <w:rsid w:val="00BA054E"/>
    <w:rsid w:val="00BA3D02"/>
    <w:rsid w:val="00BB3523"/>
    <w:rsid w:val="00BB3E0E"/>
    <w:rsid w:val="00BC093A"/>
    <w:rsid w:val="00BC308E"/>
    <w:rsid w:val="00BD3DC1"/>
    <w:rsid w:val="00BD6618"/>
    <w:rsid w:val="00BE0DAF"/>
    <w:rsid w:val="00BE15DF"/>
    <w:rsid w:val="00BE17C0"/>
    <w:rsid w:val="00BE2AE0"/>
    <w:rsid w:val="00BE7993"/>
    <w:rsid w:val="00BF175A"/>
    <w:rsid w:val="00C009F9"/>
    <w:rsid w:val="00C01233"/>
    <w:rsid w:val="00C039FD"/>
    <w:rsid w:val="00C04458"/>
    <w:rsid w:val="00C12DE3"/>
    <w:rsid w:val="00C175A6"/>
    <w:rsid w:val="00C17D50"/>
    <w:rsid w:val="00C17DE4"/>
    <w:rsid w:val="00C237C3"/>
    <w:rsid w:val="00C4666B"/>
    <w:rsid w:val="00C46FD3"/>
    <w:rsid w:val="00C4701E"/>
    <w:rsid w:val="00C507D6"/>
    <w:rsid w:val="00C50D81"/>
    <w:rsid w:val="00C517A6"/>
    <w:rsid w:val="00C54D52"/>
    <w:rsid w:val="00C55B33"/>
    <w:rsid w:val="00C603E7"/>
    <w:rsid w:val="00C62EAD"/>
    <w:rsid w:val="00C645DF"/>
    <w:rsid w:val="00C64B55"/>
    <w:rsid w:val="00C6577F"/>
    <w:rsid w:val="00C65EA5"/>
    <w:rsid w:val="00C6764F"/>
    <w:rsid w:val="00C70280"/>
    <w:rsid w:val="00C72721"/>
    <w:rsid w:val="00C76A05"/>
    <w:rsid w:val="00C84261"/>
    <w:rsid w:val="00C86456"/>
    <w:rsid w:val="00C927B7"/>
    <w:rsid w:val="00C9416B"/>
    <w:rsid w:val="00C96B1F"/>
    <w:rsid w:val="00C97D54"/>
    <w:rsid w:val="00CA69FD"/>
    <w:rsid w:val="00CB2C30"/>
    <w:rsid w:val="00CB32CF"/>
    <w:rsid w:val="00CB37C5"/>
    <w:rsid w:val="00CB52CE"/>
    <w:rsid w:val="00CB62BF"/>
    <w:rsid w:val="00CB64B2"/>
    <w:rsid w:val="00CC0CB9"/>
    <w:rsid w:val="00CC5434"/>
    <w:rsid w:val="00CD0D5A"/>
    <w:rsid w:val="00CE47DB"/>
    <w:rsid w:val="00CE4EDE"/>
    <w:rsid w:val="00CE563A"/>
    <w:rsid w:val="00CF014A"/>
    <w:rsid w:val="00CF0307"/>
    <w:rsid w:val="00CF0E55"/>
    <w:rsid w:val="00D02C7D"/>
    <w:rsid w:val="00D04D7F"/>
    <w:rsid w:val="00D06A1E"/>
    <w:rsid w:val="00D1099B"/>
    <w:rsid w:val="00D160D9"/>
    <w:rsid w:val="00D20E41"/>
    <w:rsid w:val="00D2151A"/>
    <w:rsid w:val="00D27165"/>
    <w:rsid w:val="00D400D1"/>
    <w:rsid w:val="00D414C3"/>
    <w:rsid w:val="00D50375"/>
    <w:rsid w:val="00D53E9C"/>
    <w:rsid w:val="00D62CA9"/>
    <w:rsid w:val="00D73226"/>
    <w:rsid w:val="00D75004"/>
    <w:rsid w:val="00D765F2"/>
    <w:rsid w:val="00D77918"/>
    <w:rsid w:val="00D906EC"/>
    <w:rsid w:val="00D90B28"/>
    <w:rsid w:val="00D91103"/>
    <w:rsid w:val="00D92A47"/>
    <w:rsid w:val="00D94A13"/>
    <w:rsid w:val="00D95793"/>
    <w:rsid w:val="00D966DD"/>
    <w:rsid w:val="00DC046E"/>
    <w:rsid w:val="00DC60B9"/>
    <w:rsid w:val="00DD00AD"/>
    <w:rsid w:val="00DD1646"/>
    <w:rsid w:val="00DD7765"/>
    <w:rsid w:val="00DE1BE7"/>
    <w:rsid w:val="00DE6340"/>
    <w:rsid w:val="00DF05D1"/>
    <w:rsid w:val="00DF25B1"/>
    <w:rsid w:val="00DF2862"/>
    <w:rsid w:val="00DF6F02"/>
    <w:rsid w:val="00E044BC"/>
    <w:rsid w:val="00E13C7C"/>
    <w:rsid w:val="00E144C1"/>
    <w:rsid w:val="00E25414"/>
    <w:rsid w:val="00E26836"/>
    <w:rsid w:val="00E30051"/>
    <w:rsid w:val="00E40717"/>
    <w:rsid w:val="00E42DE0"/>
    <w:rsid w:val="00E43D97"/>
    <w:rsid w:val="00E43F83"/>
    <w:rsid w:val="00E445DD"/>
    <w:rsid w:val="00E446C6"/>
    <w:rsid w:val="00E44EF7"/>
    <w:rsid w:val="00E47929"/>
    <w:rsid w:val="00E53F4E"/>
    <w:rsid w:val="00E62AC4"/>
    <w:rsid w:val="00E6361F"/>
    <w:rsid w:val="00E71A08"/>
    <w:rsid w:val="00E85EC6"/>
    <w:rsid w:val="00E903C7"/>
    <w:rsid w:val="00E92859"/>
    <w:rsid w:val="00EA0D72"/>
    <w:rsid w:val="00EB24E1"/>
    <w:rsid w:val="00EB29D9"/>
    <w:rsid w:val="00EB6550"/>
    <w:rsid w:val="00EB7DAC"/>
    <w:rsid w:val="00EC0283"/>
    <w:rsid w:val="00EC0DFC"/>
    <w:rsid w:val="00EC1DAE"/>
    <w:rsid w:val="00EC2D87"/>
    <w:rsid w:val="00EC3146"/>
    <w:rsid w:val="00EC74B5"/>
    <w:rsid w:val="00EE3C7F"/>
    <w:rsid w:val="00EF5527"/>
    <w:rsid w:val="00F027F4"/>
    <w:rsid w:val="00F03FA6"/>
    <w:rsid w:val="00F06AA5"/>
    <w:rsid w:val="00F10A89"/>
    <w:rsid w:val="00F141C0"/>
    <w:rsid w:val="00F20848"/>
    <w:rsid w:val="00F212F1"/>
    <w:rsid w:val="00F21F6F"/>
    <w:rsid w:val="00F24DE1"/>
    <w:rsid w:val="00F273EF"/>
    <w:rsid w:val="00F27E2F"/>
    <w:rsid w:val="00F27EA0"/>
    <w:rsid w:val="00F41F64"/>
    <w:rsid w:val="00F44011"/>
    <w:rsid w:val="00F57809"/>
    <w:rsid w:val="00F66F52"/>
    <w:rsid w:val="00F67AA5"/>
    <w:rsid w:val="00F74780"/>
    <w:rsid w:val="00F768EF"/>
    <w:rsid w:val="00F842EE"/>
    <w:rsid w:val="00F87D17"/>
    <w:rsid w:val="00F915FE"/>
    <w:rsid w:val="00F91798"/>
    <w:rsid w:val="00F923CB"/>
    <w:rsid w:val="00F96B16"/>
    <w:rsid w:val="00FB2C89"/>
    <w:rsid w:val="00FB43A2"/>
    <w:rsid w:val="00FB79CE"/>
    <w:rsid w:val="00FC2D97"/>
    <w:rsid w:val="00FC76AA"/>
    <w:rsid w:val="00FD11DF"/>
    <w:rsid w:val="00FD164E"/>
    <w:rsid w:val="00FD19BF"/>
    <w:rsid w:val="00FE24BB"/>
    <w:rsid w:val="00FE33E3"/>
    <w:rsid w:val="00FE77A2"/>
    <w:rsid w:val="00FF29D0"/>
    <w:rsid w:val="00FF4E6D"/>
    <w:rsid w:val="00FF6C05"/>
    <w:rsid w:val="00FF6E50"/>
    <w:rsid w:val="00FF7B86"/>
    <w:rsid w:val="010657A4"/>
    <w:rsid w:val="010764E3"/>
    <w:rsid w:val="011B58EE"/>
    <w:rsid w:val="012515C4"/>
    <w:rsid w:val="012C1337"/>
    <w:rsid w:val="012C2953"/>
    <w:rsid w:val="015B3238"/>
    <w:rsid w:val="015B6D94"/>
    <w:rsid w:val="019D73AC"/>
    <w:rsid w:val="01AF3208"/>
    <w:rsid w:val="01B3097E"/>
    <w:rsid w:val="01BF5783"/>
    <w:rsid w:val="01D52A47"/>
    <w:rsid w:val="0204567E"/>
    <w:rsid w:val="020D4CA4"/>
    <w:rsid w:val="022C24DE"/>
    <w:rsid w:val="02375F16"/>
    <w:rsid w:val="023C4E17"/>
    <w:rsid w:val="02661E94"/>
    <w:rsid w:val="027A12A2"/>
    <w:rsid w:val="027C5214"/>
    <w:rsid w:val="02881E0B"/>
    <w:rsid w:val="02895B83"/>
    <w:rsid w:val="029C7664"/>
    <w:rsid w:val="029F53A6"/>
    <w:rsid w:val="02A45027"/>
    <w:rsid w:val="02AF2983"/>
    <w:rsid w:val="02AF7F28"/>
    <w:rsid w:val="02B7449E"/>
    <w:rsid w:val="02BE1438"/>
    <w:rsid w:val="02C32E43"/>
    <w:rsid w:val="02C44FE8"/>
    <w:rsid w:val="02F079B0"/>
    <w:rsid w:val="02FA00ED"/>
    <w:rsid w:val="03045209"/>
    <w:rsid w:val="033124A2"/>
    <w:rsid w:val="03323B24"/>
    <w:rsid w:val="033A62E9"/>
    <w:rsid w:val="03476C84"/>
    <w:rsid w:val="034A3564"/>
    <w:rsid w:val="034A5312"/>
    <w:rsid w:val="03793A36"/>
    <w:rsid w:val="039A2785"/>
    <w:rsid w:val="039E6195"/>
    <w:rsid w:val="03A34A22"/>
    <w:rsid w:val="03AC1B29"/>
    <w:rsid w:val="03AF7159"/>
    <w:rsid w:val="03B73B1E"/>
    <w:rsid w:val="03D177E1"/>
    <w:rsid w:val="03E17FEB"/>
    <w:rsid w:val="04012209"/>
    <w:rsid w:val="0475494B"/>
    <w:rsid w:val="04763EE5"/>
    <w:rsid w:val="04997E32"/>
    <w:rsid w:val="049C1B9D"/>
    <w:rsid w:val="04AA3A81"/>
    <w:rsid w:val="04AB0032"/>
    <w:rsid w:val="04B2316F"/>
    <w:rsid w:val="04C959D7"/>
    <w:rsid w:val="04DF7CDC"/>
    <w:rsid w:val="04F351BB"/>
    <w:rsid w:val="05191440"/>
    <w:rsid w:val="052A53FB"/>
    <w:rsid w:val="052C2F85"/>
    <w:rsid w:val="053D054C"/>
    <w:rsid w:val="0543026B"/>
    <w:rsid w:val="05667117"/>
    <w:rsid w:val="056B28D7"/>
    <w:rsid w:val="05726DA2"/>
    <w:rsid w:val="05746676"/>
    <w:rsid w:val="058D6A20"/>
    <w:rsid w:val="05926AFC"/>
    <w:rsid w:val="05940AC6"/>
    <w:rsid w:val="05983998"/>
    <w:rsid w:val="05C22AF0"/>
    <w:rsid w:val="05D76C05"/>
    <w:rsid w:val="05E53AA2"/>
    <w:rsid w:val="05F72E03"/>
    <w:rsid w:val="060816FA"/>
    <w:rsid w:val="060914B4"/>
    <w:rsid w:val="060A0D89"/>
    <w:rsid w:val="06147E59"/>
    <w:rsid w:val="0616408D"/>
    <w:rsid w:val="064D2FFD"/>
    <w:rsid w:val="06840B3B"/>
    <w:rsid w:val="068E6AB1"/>
    <w:rsid w:val="069A0413"/>
    <w:rsid w:val="069B5E85"/>
    <w:rsid w:val="069F7450"/>
    <w:rsid w:val="06AC1E40"/>
    <w:rsid w:val="06B225CD"/>
    <w:rsid w:val="06B807E5"/>
    <w:rsid w:val="06CC4290"/>
    <w:rsid w:val="06CE1DB6"/>
    <w:rsid w:val="06EF599D"/>
    <w:rsid w:val="06F85085"/>
    <w:rsid w:val="070E2AFA"/>
    <w:rsid w:val="0724760E"/>
    <w:rsid w:val="073532BB"/>
    <w:rsid w:val="07375BAD"/>
    <w:rsid w:val="073A38EF"/>
    <w:rsid w:val="074107DA"/>
    <w:rsid w:val="074A1D85"/>
    <w:rsid w:val="07634BF4"/>
    <w:rsid w:val="078241F3"/>
    <w:rsid w:val="07BD6B04"/>
    <w:rsid w:val="07CF228A"/>
    <w:rsid w:val="07E13D6B"/>
    <w:rsid w:val="07F92DB8"/>
    <w:rsid w:val="0802639E"/>
    <w:rsid w:val="08275C22"/>
    <w:rsid w:val="08396FEC"/>
    <w:rsid w:val="08402A82"/>
    <w:rsid w:val="08602EE2"/>
    <w:rsid w:val="08630B9B"/>
    <w:rsid w:val="086D540D"/>
    <w:rsid w:val="08915791"/>
    <w:rsid w:val="089E2538"/>
    <w:rsid w:val="08C6547B"/>
    <w:rsid w:val="08F655F4"/>
    <w:rsid w:val="08F71A98"/>
    <w:rsid w:val="0907198C"/>
    <w:rsid w:val="0913264A"/>
    <w:rsid w:val="091E51EB"/>
    <w:rsid w:val="09277590"/>
    <w:rsid w:val="09304FAA"/>
    <w:rsid w:val="093C394F"/>
    <w:rsid w:val="0946657C"/>
    <w:rsid w:val="096133B5"/>
    <w:rsid w:val="096F469B"/>
    <w:rsid w:val="09702F64"/>
    <w:rsid w:val="09811C90"/>
    <w:rsid w:val="09880942"/>
    <w:rsid w:val="098F309D"/>
    <w:rsid w:val="09B06C9C"/>
    <w:rsid w:val="09C9096D"/>
    <w:rsid w:val="09D90390"/>
    <w:rsid w:val="09E54FC6"/>
    <w:rsid w:val="0A105578"/>
    <w:rsid w:val="0A1421D6"/>
    <w:rsid w:val="0A374116"/>
    <w:rsid w:val="0A3B59B5"/>
    <w:rsid w:val="0A402DE6"/>
    <w:rsid w:val="0A4535DA"/>
    <w:rsid w:val="0A456833"/>
    <w:rsid w:val="0A4800D1"/>
    <w:rsid w:val="0A5711EF"/>
    <w:rsid w:val="0A621193"/>
    <w:rsid w:val="0A7B65D7"/>
    <w:rsid w:val="0A7D7D7B"/>
    <w:rsid w:val="0A91640E"/>
    <w:rsid w:val="0A95665E"/>
    <w:rsid w:val="0AA43C12"/>
    <w:rsid w:val="0AAC3659"/>
    <w:rsid w:val="0AB44A7F"/>
    <w:rsid w:val="0AC0410C"/>
    <w:rsid w:val="0ACC0D02"/>
    <w:rsid w:val="0AF73FD1"/>
    <w:rsid w:val="0B094C47"/>
    <w:rsid w:val="0B2428ED"/>
    <w:rsid w:val="0B3A5C6C"/>
    <w:rsid w:val="0B3F66D6"/>
    <w:rsid w:val="0B601965"/>
    <w:rsid w:val="0B675067"/>
    <w:rsid w:val="0B722975"/>
    <w:rsid w:val="0BA80E28"/>
    <w:rsid w:val="0BC32105"/>
    <w:rsid w:val="0BF95B27"/>
    <w:rsid w:val="0C0369A6"/>
    <w:rsid w:val="0C0A2E30"/>
    <w:rsid w:val="0C271AB2"/>
    <w:rsid w:val="0C2738E7"/>
    <w:rsid w:val="0C286ADE"/>
    <w:rsid w:val="0C4F74F5"/>
    <w:rsid w:val="0C6E02C3"/>
    <w:rsid w:val="0C6E7A0C"/>
    <w:rsid w:val="0CAF1744"/>
    <w:rsid w:val="0CBB6FB2"/>
    <w:rsid w:val="0CBC583E"/>
    <w:rsid w:val="0CE20369"/>
    <w:rsid w:val="0CF63E15"/>
    <w:rsid w:val="0CF956B3"/>
    <w:rsid w:val="0D015904"/>
    <w:rsid w:val="0D1036FE"/>
    <w:rsid w:val="0D164897"/>
    <w:rsid w:val="0D305F43"/>
    <w:rsid w:val="0D3112F1"/>
    <w:rsid w:val="0D5D769E"/>
    <w:rsid w:val="0D6945E7"/>
    <w:rsid w:val="0D8B27AF"/>
    <w:rsid w:val="0D8D29CB"/>
    <w:rsid w:val="0D9F1B38"/>
    <w:rsid w:val="0DAE5704"/>
    <w:rsid w:val="0DD67D0B"/>
    <w:rsid w:val="0DEE490C"/>
    <w:rsid w:val="0DF30354"/>
    <w:rsid w:val="0E010CC3"/>
    <w:rsid w:val="0E082052"/>
    <w:rsid w:val="0E1529C0"/>
    <w:rsid w:val="0E244726"/>
    <w:rsid w:val="0E4B0190"/>
    <w:rsid w:val="0E6D0107"/>
    <w:rsid w:val="0E72571D"/>
    <w:rsid w:val="0E8245E4"/>
    <w:rsid w:val="0E87566C"/>
    <w:rsid w:val="0E8D07A9"/>
    <w:rsid w:val="0E8E2A5E"/>
    <w:rsid w:val="0EA35638"/>
    <w:rsid w:val="0EC31417"/>
    <w:rsid w:val="0ECB1C8E"/>
    <w:rsid w:val="0ED308B1"/>
    <w:rsid w:val="0ED74654"/>
    <w:rsid w:val="0ED85EC8"/>
    <w:rsid w:val="0EDB59B8"/>
    <w:rsid w:val="0F035D4F"/>
    <w:rsid w:val="0F20161D"/>
    <w:rsid w:val="0F2C6C66"/>
    <w:rsid w:val="0F3835E7"/>
    <w:rsid w:val="0F4C0664"/>
    <w:rsid w:val="0F5054F7"/>
    <w:rsid w:val="0F9B2BCE"/>
    <w:rsid w:val="0F9C5147"/>
    <w:rsid w:val="0FA97864"/>
    <w:rsid w:val="0FD02D57"/>
    <w:rsid w:val="0FDE1B16"/>
    <w:rsid w:val="0FE20680"/>
    <w:rsid w:val="0FE7102C"/>
    <w:rsid w:val="0FE72626"/>
    <w:rsid w:val="0FEB5787"/>
    <w:rsid w:val="0FEB7FE4"/>
    <w:rsid w:val="0FF94348"/>
    <w:rsid w:val="100920B1"/>
    <w:rsid w:val="10156852"/>
    <w:rsid w:val="1019280D"/>
    <w:rsid w:val="101E3DAE"/>
    <w:rsid w:val="1045758D"/>
    <w:rsid w:val="10530196"/>
    <w:rsid w:val="105F7F23"/>
    <w:rsid w:val="1075073F"/>
    <w:rsid w:val="10790FE5"/>
    <w:rsid w:val="10B244F7"/>
    <w:rsid w:val="10C06C14"/>
    <w:rsid w:val="10CD1330"/>
    <w:rsid w:val="10CF7FC4"/>
    <w:rsid w:val="10DE52EC"/>
    <w:rsid w:val="10DE709A"/>
    <w:rsid w:val="10E8616A"/>
    <w:rsid w:val="111265B3"/>
    <w:rsid w:val="112A22DF"/>
    <w:rsid w:val="113E619F"/>
    <w:rsid w:val="115122ED"/>
    <w:rsid w:val="11586EE7"/>
    <w:rsid w:val="115B1C24"/>
    <w:rsid w:val="11671785"/>
    <w:rsid w:val="116A6B7F"/>
    <w:rsid w:val="11B81FE1"/>
    <w:rsid w:val="11BB5040"/>
    <w:rsid w:val="11C95F9C"/>
    <w:rsid w:val="11D30BC8"/>
    <w:rsid w:val="12045226"/>
    <w:rsid w:val="124473D0"/>
    <w:rsid w:val="12463148"/>
    <w:rsid w:val="12503FC7"/>
    <w:rsid w:val="1272218F"/>
    <w:rsid w:val="12955E7E"/>
    <w:rsid w:val="12A06F1A"/>
    <w:rsid w:val="12B5207C"/>
    <w:rsid w:val="12C02EFB"/>
    <w:rsid w:val="12C30F2B"/>
    <w:rsid w:val="12C765B7"/>
    <w:rsid w:val="12D93FBD"/>
    <w:rsid w:val="12E56E05"/>
    <w:rsid w:val="13070B2A"/>
    <w:rsid w:val="13082353"/>
    <w:rsid w:val="133B4C77"/>
    <w:rsid w:val="13491142"/>
    <w:rsid w:val="13497394"/>
    <w:rsid w:val="13540B2E"/>
    <w:rsid w:val="13557347"/>
    <w:rsid w:val="13575115"/>
    <w:rsid w:val="136E2957"/>
    <w:rsid w:val="138959E3"/>
    <w:rsid w:val="139528AF"/>
    <w:rsid w:val="139D3DFC"/>
    <w:rsid w:val="13A72EEF"/>
    <w:rsid w:val="13AC6743"/>
    <w:rsid w:val="13CD36B9"/>
    <w:rsid w:val="13D20ADC"/>
    <w:rsid w:val="13D50C28"/>
    <w:rsid w:val="13E946D3"/>
    <w:rsid w:val="13E96481"/>
    <w:rsid w:val="140A3B78"/>
    <w:rsid w:val="1417547A"/>
    <w:rsid w:val="141A2ADF"/>
    <w:rsid w:val="141C43A8"/>
    <w:rsid w:val="14214C4A"/>
    <w:rsid w:val="14342571"/>
    <w:rsid w:val="144760A7"/>
    <w:rsid w:val="144A465D"/>
    <w:rsid w:val="144E09DA"/>
    <w:rsid w:val="146124BC"/>
    <w:rsid w:val="1461426A"/>
    <w:rsid w:val="147C094F"/>
    <w:rsid w:val="14863CD0"/>
    <w:rsid w:val="14A2648B"/>
    <w:rsid w:val="14B52807"/>
    <w:rsid w:val="14CD18FF"/>
    <w:rsid w:val="14E742D5"/>
    <w:rsid w:val="14EC4C0B"/>
    <w:rsid w:val="14ED01F3"/>
    <w:rsid w:val="151632A6"/>
    <w:rsid w:val="151641DC"/>
    <w:rsid w:val="15347BD0"/>
    <w:rsid w:val="153D188B"/>
    <w:rsid w:val="156E30E2"/>
    <w:rsid w:val="15712BD2"/>
    <w:rsid w:val="15800CC8"/>
    <w:rsid w:val="15843E8B"/>
    <w:rsid w:val="158E5532"/>
    <w:rsid w:val="15AE1730"/>
    <w:rsid w:val="15C2342E"/>
    <w:rsid w:val="15D64EC1"/>
    <w:rsid w:val="15DA0E35"/>
    <w:rsid w:val="15E72E94"/>
    <w:rsid w:val="16077093"/>
    <w:rsid w:val="161672D6"/>
    <w:rsid w:val="16180394"/>
    <w:rsid w:val="1618304E"/>
    <w:rsid w:val="1635673D"/>
    <w:rsid w:val="164149B6"/>
    <w:rsid w:val="165C118C"/>
    <w:rsid w:val="1660435D"/>
    <w:rsid w:val="16677B31"/>
    <w:rsid w:val="167504A0"/>
    <w:rsid w:val="169326D4"/>
    <w:rsid w:val="16A3500D"/>
    <w:rsid w:val="16B207CA"/>
    <w:rsid w:val="16B702AD"/>
    <w:rsid w:val="16CF0BE8"/>
    <w:rsid w:val="16DC407B"/>
    <w:rsid w:val="16E3540A"/>
    <w:rsid w:val="16FB6BF7"/>
    <w:rsid w:val="17034063"/>
    <w:rsid w:val="170D06D9"/>
    <w:rsid w:val="17264F61"/>
    <w:rsid w:val="172925CA"/>
    <w:rsid w:val="174116A4"/>
    <w:rsid w:val="175D4FCA"/>
    <w:rsid w:val="1763654B"/>
    <w:rsid w:val="17773DA4"/>
    <w:rsid w:val="179B2F9A"/>
    <w:rsid w:val="17A34B99"/>
    <w:rsid w:val="17A531CF"/>
    <w:rsid w:val="17AD5A18"/>
    <w:rsid w:val="17B84AE8"/>
    <w:rsid w:val="17C214C3"/>
    <w:rsid w:val="17C76AD9"/>
    <w:rsid w:val="17CC2342"/>
    <w:rsid w:val="17D819FB"/>
    <w:rsid w:val="17DA28DA"/>
    <w:rsid w:val="17E14BEB"/>
    <w:rsid w:val="17EA1584"/>
    <w:rsid w:val="17EC6CE1"/>
    <w:rsid w:val="17EE22B8"/>
    <w:rsid w:val="17F84EE5"/>
    <w:rsid w:val="18153CE9"/>
    <w:rsid w:val="18154FDF"/>
    <w:rsid w:val="18161FFE"/>
    <w:rsid w:val="182C52B5"/>
    <w:rsid w:val="18351C95"/>
    <w:rsid w:val="183A6695"/>
    <w:rsid w:val="18541CF2"/>
    <w:rsid w:val="18702CCD"/>
    <w:rsid w:val="18707171"/>
    <w:rsid w:val="18756535"/>
    <w:rsid w:val="18AE4589"/>
    <w:rsid w:val="18C1177B"/>
    <w:rsid w:val="18C82B09"/>
    <w:rsid w:val="18F86740"/>
    <w:rsid w:val="18F935F9"/>
    <w:rsid w:val="190634BA"/>
    <w:rsid w:val="190F0738"/>
    <w:rsid w:val="1923007E"/>
    <w:rsid w:val="192F4E41"/>
    <w:rsid w:val="196B7938"/>
    <w:rsid w:val="1971594F"/>
    <w:rsid w:val="19742C91"/>
    <w:rsid w:val="198805EA"/>
    <w:rsid w:val="198C3F5C"/>
    <w:rsid w:val="1994787E"/>
    <w:rsid w:val="199E1ABC"/>
    <w:rsid w:val="19F57A56"/>
    <w:rsid w:val="1A02204B"/>
    <w:rsid w:val="1A116732"/>
    <w:rsid w:val="1A141D7E"/>
    <w:rsid w:val="1A3741DD"/>
    <w:rsid w:val="1A516B2E"/>
    <w:rsid w:val="1A677FB4"/>
    <w:rsid w:val="1A705206"/>
    <w:rsid w:val="1A75281D"/>
    <w:rsid w:val="1AA475A6"/>
    <w:rsid w:val="1AC3244C"/>
    <w:rsid w:val="1ACD2659"/>
    <w:rsid w:val="1AD734D7"/>
    <w:rsid w:val="1AD80FFE"/>
    <w:rsid w:val="1AE25F54"/>
    <w:rsid w:val="1B083691"/>
    <w:rsid w:val="1B0F0ADC"/>
    <w:rsid w:val="1B193101"/>
    <w:rsid w:val="1B2B2CEA"/>
    <w:rsid w:val="1B4556F0"/>
    <w:rsid w:val="1B486006"/>
    <w:rsid w:val="1BE13EE2"/>
    <w:rsid w:val="1BE51C24"/>
    <w:rsid w:val="1BF711F2"/>
    <w:rsid w:val="1C16002F"/>
    <w:rsid w:val="1C1918CE"/>
    <w:rsid w:val="1C1D316C"/>
    <w:rsid w:val="1C3F4CE8"/>
    <w:rsid w:val="1C4755EC"/>
    <w:rsid w:val="1C512EAC"/>
    <w:rsid w:val="1C533032"/>
    <w:rsid w:val="1C5A43C0"/>
    <w:rsid w:val="1C646FED"/>
    <w:rsid w:val="1C6C40F3"/>
    <w:rsid w:val="1C740447"/>
    <w:rsid w:val="1C93342E"/>
    <w:rsid w:val="1CAC2742"/>
    <w:rsid w:val="1CB149DF"/>
    <w:rsid w:val="1CC01D49"/>
    <w:rsid w:val="1CE156D8"/>
    <w:rsid w:val="1CEB6DC6"/>
    <w:rsid w:val="1CFD4D4B"/>
    <w:rsid w:val="1D063C00"/>
    <w:rsid w:val="1D077978"/>
    <w:rsid w:val="1D1B6050"/>
    <w:rsid w:val="1D2642A2"/>
    <w:rsid w:val="1D303373"/>
    <w:rsid w:val="1D3249F5"/>
    <w:rsid w:val="1D383FD6"/>
    <w:rsid w:val="1D4F5582"/>
    <w:rsid w:val="1D5232E9"/>
    <w:rsid w:val="1D9E02DC"/>
    <w:rsid w:val="1DA13EB7"/>
    <w:rsid w:val="1DAF24EA"/>
    <w:rsid w:val="1DB418AE"/>
    <w:rsid w:val="1DB572F7"/>
    <w:rsid w:val="1DBA0CD4"/>
    <w:rsid w:val="1DC35F95"/>
    <w:rsid w:val="1DD0420E"/>
    <w:rsid w:val="1DD261D8"/>
    <w:rsid w:val="1DFE0D7B"/>
    <w:rsid w:val="1E2F7187"/>
    <w:rsid w:val="1E5D33B2"/>
    <w:rsid w:val="1E85149C"/>
    <w:rsid w:val="1E8C282B"/>
    <w:rsid w:val="1E8C45D9"/>
    <w:rsid w:val="1E933BB9"/>
    <w:rsid w:val="1E982F7E"/>
    <w:rsid w:val="1EA05B80"/>
    <w:rsid w:val="1EA336D1"/>
    <w:rsid w:val="1EB1403F"/>
    <w:rsid w:val="1EB3600A"/>
    <w:rsid w:val="1ED0096A"/>
    <w:rsid w:val="1EEA1E81"/>
    <w:rsid w:val="1EF044C7"/>
    <w:rsid w:val="1EF84E1D"/>
    <w:rsid w:val="1EFB442D"/>
    <w:rsid w:val="1F130856"/>
    <w:rsid w:val="1F1620F4"/>
    <w:rsid w:val="1F173DF1"/>
    <w:rsid w:val="1F262D0B"/>
    <w:rsid w:val="1F29007A"/>
    <w:rsid w:val="1F337059"/>
    <w:rsid w:val="1F3E3D69"/>
    <w:rsid w:val="1F462292"/>
    <w:rsid w:val="1F555E2B"/>
    <w:rsid w:val="1F6D17F9"/>
    <w:rsid w:val="1F7806C5"/>
    <w:rsid w:val="1F7A6B27"/>
    <w:rsid w:val="1F7E03C6"/>
    <w:rsid w:val="1F7F5EEC"/>
    <w:rsid w:val="1F841754"/>
    <w:rsid w:val="1F8650DF"/>
    <w:rsid w:val="1F9471AD"/>
    <w:rsid w:val="1F99651E"/>
    <w:rsid w:val="1FBA6F24"/>
    <w:rsid w:val="1FC63FA6"/>
    <w:rsid w:val="1FE02E2E"/>
    <w:rsid w:val="1FF92929"/>
    <w:rsid w:val="202820DF"/>
    <w:rsid w:val="20484530"/>
    <w:rsid w:val="204C4E74"/>
    <w:rsid w:val="204D7D98"/>
    <w:rsid w:val="204F00BD"/>
    <w:rsid w:val="20547D53"/>
    <w:rsid w:val="20607ACB"/>
    <w:rsid w:val="207E15CE"/>
    <w:rsid w:val="2084196E"/>
    <w:rsid w:val="2099122F"/>
    <w:rsid w:val="20A756FA"/>
    <w:rsid w:val="20A91472"/>
    <w:rsid w:val="20BC5AB0"/>
    <w:rsid w:val="20C0551D"/>
    <w:rsid w:val="20D44015"/>
    <w:rsid w:val="20EE79FA"/>
    <w:rsid w:val="21294361"/>
    <w:rsid w:val="21537630"/>
    <w:rsid w:val="21676C37"/>
    <w:rsid w:val="216C24A0"/>
    <w:rsid w:val="216C72F5"/>
    <w:rsid w:val="217D645B"/>
    <w:rsid w:val="217E28FF"/>
    <w:rsid w:val="21837F15"/>
    <w:rsid w:val="2190166D"/>
    <w:rsid w:val="21A32724"/>
    <w:rsid w:val="21DA565B"/>
    <w:rsid w:val="21E36C06"/>
    <w:rsid w:val="21F11323"/>
    <w:rsid w:val="21F901D7"/>
    <w:rsid w:val="221943D6"/>
    <w:rsid w:val="221E379A"/>
    <w:rsid w:val="224C47AB"/>
    <w:rsid w:val="229D08A0"/>
    <w:rsid w:val="22A23A9C"/>
    <w:rsid w:val="22A85759"/>
    <w:rsid w:val="22A939AB"/>
    <w:rsid w:val="22BA56D9"/>
    <w:rsid w:val="22BB548D"/>
    <w:rsid w:val="22CE51C0"/>
    <w:rsid w:val="22FB2B87"/>
    <w:rsid w:val="2302130E"/>
    <w:rsid w:val="23152DEF"/>
    <w:rsid w:val="231A0405"/>
    <w:rsid w:val="2327182A"/>
    <w:rsid w:val="23274573"/>
    <w:rsid w:val="232F19D7"/>
    <w:rsid w:val="2346744C"/>
    <w:rsid w:val="234F0269"/>
    <w:rsid w:val="2350457F"/>
    <w:rsid w:val="2355768F"/>
    <w:rsid w:val="236E24FF"/>
    <w:rsid w:val="23733FB9"/>
    <w:rsid w:val="23A203FB"/>
    <w:rsid w:val="23C711D6"/>
    <w:rsid w:val="23DA5DE6"/>
    <w:rsid w:val="23E66539"/>
    <w:rsid w:val="240A20B5"/>
    <w:rsid w:val="240F2468"/>
    <w:rsid w:val="2452597D"/>
    <w:rsid w:val="24596D0B"/>
    <w:rsid w:val="246A716A"/>
    <w:rsid w:val="246F4781"/>
    <w:rsid w:val="24747FE9"/>
    <w:rsid w:val="24AD52A9"/>
    <w:rsid w:val="24C30629"/>
    <w:rsid w:val="24E231A5"/>
    <w:rsid w:val="24E82BA0"/>
    <w:rsid w:val="25010871"/>
    <w:rsid w:val="250255F5"/>
    <w:rsid w:val="2526682A"/>
    <w:rsid w:val="25281DE7"/>
    <w:rsid w:val="253C6C22"/>
    <w:rsid w:val="254554E2"/>
    <w:rsid w:val="2563462E"/>
    <w:rsid w:val="25754019"/>
    <w:rsid w:val="25985D20"/>
    <w:rsid w:val="259E73AE"/>
    <w:rsid w:val="25C14A4B"/>
    <w:rsid w:val="25E17963"/>
    <w:rsid w:val="25EC3099"/>
    <w:rsid w:val="25F25669"/>
    <w:rsid w:val="25F72C80"/>
    <w:rsid w:val="260B7F89"/>
    <w:rsid w:val="26256849"/>
    <w:rsid w:val="262D66A1"/>
    <w:rsid w:val="26345C82"/>
    <w:rsid w:val="263B7010"/>
    <w:rsid w:val="263D6A18"/>
    <w:rsid w:val="26451C3D"/>
    <w:rsid w:val="264B2FCC"/>
    <w:rsid w:val="26502390"/>
    <w:rsid w:val="26593CB2"/>
    <w:rsid w:val="26663961"/>
    <w:rsid w:val="26804A23"/>
    <w:rsid w:val="26A37DE6"/>
    <w:rsid w:val="26A85D28"/>
    <w:rsid w:val="26BB5A5B"/>
    <w:rsid w:val="26C778D8"/>
    <w:rsid w:val="26D05E70"/>
    <w:rsid w:val="26D60AE7"/>
    <w:rsid w:val="26E86A6C"/>
    <w:rsid w:val="2703209B"/>
    <w:rsid w:val="27036F54"/>
    <w:rsid w:val="270D78FD"/>
    <w:rsid w:val="270F5DA7"/>
    <w:rsid w:val="27376F66"/>
    <w:rsid w:val="2739158C"/>
    <w:rsid w:val="27451B96"/>
    <w:rsid w:val="2762237B"/>
    <w:rsid w:val="27637EA1"/>
    <w:rsid w:val="276B6970"/>
    <w:rsid w:val="27813EAE"/>
    <w:rsid w:val="27A6670B"/>
    <w:rsid w:val="27B47D3A"/>
    <w:rsid w:val="27C13545"/>
    <w:rsid w:val="27CE7A10"/>
    <w:rsid w:val="27DF1C1D"/>
    <w:rsid w:val="27E9484A"/>
    <w:rsid w:val="27EA5CB9"/>
    <w:rsid w:val="27F531EF"/>
    <w:rsid w:val="27F63565"/>
    <w:rsid w:val="28137B19"/>
    <w:rsid w:val="2821284F"/>
    <w:rsid w:val="284F6DA3"/>
    <w:rsid w:val="28530CCD"/>
    <w:rsid w:val="285C14C0"/>
    <w:rsid w:val="28863D8C"/>
    <w:rsid w:val="288A1B89"/>
    <w:rsid w:val="288B4F9C"/>
    <w:rsid w:val="289724F8"/>
    <w:rsid w:val="28A54C15"/>
    <w:rsid w:val="28AD3ACA"/>
    <w:rsid w:val="28BC3D0D"/>
    <w:rsid w:val="28C72DDD"/>
    <w:rsid w:val="28D56B7C"/>
    <w:rsid w:val="28EC2415"/>
    <w:rsid w:val="28F966BD"/>
    <w:rsid w:val="290E7DBA"/>
    <w:rsid w:val="2920604A"/>
    <w:rsid w:val="292D0766"/>
    <w:rsid w:val="292F2731"/>
    <w:rsid w:val="2950368E"/>
    <w:rsid w:val="29944E6A"/>
    <w:rsid w:val="299E301D"/>
    <w:rsid w:val="29B345EF"/>
    <w:rsid w:val="29E7300B"/>
    <w:rsid w:val="29F714A0"/>
    <w:rsid w:val="29FB7994"/>
    <w:rsid w:val="29FD15E4"/>
    <w:rsid w:val="29FF6F50"/>
    <w:rsid w:val="2A1443A7"/>
    <w:rsid w:val="2A241B69"/>
    <w:rsid w:val="2A375D41"/>
    <w:rsid w:val="2A4354BD"/>
    <w:rsid w:val="2A522B7B"/>
    <w:rsid w:val="2A5F68C5"/>
    <w:rsid w:val="2A9D42C2"/>
    <w:rsid w:val="2AAA6513"/>
    <w:rsid w:val="2AB96756"/>
    <w:rsid w:val="2AD57308"/>
    <w:rsid w:val="2AE40F8B"/>
    <w:rsid w:val="2AE5615A"/>
    <w:rsid w:val="2AF05EF0"/>
    <w:rsid w:val="2B0379D1"/>
    <w:rsid w:val="2B140271"/>
    <w:rsid w:val="2B2F4A7A"/>
    <w:rsid w:val="2B312684"/>
    <w:rsid w:val="2B5037FA"/>
    <w:rsid w:val="2B606BD1"/>
    <w:rsid w:val="2B620859"/>
    <w:rsid w:val="2B7A2ED9"/>
    <w:rsid w:val="2B7B4E48"/>
    <w:rsid w:val="2B7C2585"/>
    <w:rsid w:val="2B844752"/>
    <w:rsid w:val="2B8505B7"/>
    <w:rsid w:val="2B9D6077"/>
    <w:rsid w:val="2BB34E5E"/>
    <w:rsid w:val="2BB807BB"/>
    <w:rsid w:val="2BD355F5"/>
    <w:rsid w:val="2BDB6BA0"/>
    <w:rsid w:val="2BE710A1"/>
    <w:rsid w:val="2BEB4ABA"/>
    <w:rsid w:val="2C016606"/>
    <w:rsid w:val="2C131E96"/>
    <w:rsid w:val="2C1856FE"/>
    <w:rsid w:val="2C31722A"/>
    <w:rsid w:val="2C411368"/>
    <w:rsid w:val="2C504E98"/>
    <w:rsid w:val="2C5160B7"/>
    <w:rsid w:val="2C6646BB"/>
    <w:rsid w:val="2C9D501F"/>
    <w:rsid w:val="2CC82C80"/>
    <w:rsid w:val="2CD85C57"/>
    <w:rsid w:val="2D376058"/>
    <w:rsid w:val="2D4556B8"/>
    <w:rsid w:val="2D590E12"/>
    <w:rsid w:val="2D874CA0"/>
    <w:rsid w:val="2D8D5C78"/>
    <w:rsid w:val="2D8F424F"/>
    <w:rsid w:val="2D9B45E2"/>
    <w:rsid w:val="2DAA05D8"/>
    <w:rsid w:val="2DAD00C8"/>
    <w:rsid w:val="2DDF4725"/>
    <w:rsid w:val="2DE119A0"/>
    <w:rsid w:val="2DF83A39"/>
    <w:rsid w:val="2E1970E1"/>
    <w:rsid w:val="2E1B7DC2"/>
    <w:rsid w:val="2E2B600A"/>
    <w:rsid w:val="2E7334D9"/>
    <w:rsid w:val="2E7D5CEC"/>
    <w:rsid w:val="2E7F7CB6"/>
    <w:rsid w:val="2E813A2E"/>
    <w:rsid w:val="2E977D64"/>
    <w:rsid w:val="2E982D28"/>
    <w:rsid w:val="2E9A4AF0"/>
    <w:rsid w:val="2EA80FBB"/>
    <w:rsid w:val="2EE43FBD"/>
    <w:rsid w:val="2EE95130"/>
    <w:rsid w:val="2EED10C4"/>
    <w:rsid w:val="2F0A56A3"/>
    <w:rsid w:val="2F126434"/>
    <w:rsid w:val="2F2A746B"/>
    <w:rsid w:val="2F2B1BEC"/>
    <w:rsid w:val="2F320859"/>
    <w:rsid w:val="2F435D2A"/>
    <w:rsid w:val="2F4B315F"/>
    <w:rsid w:val="2F4B7B98"/>
    <w:rsid w:val="2F68699C"/>
    <w:rsid w:val="2F697F69"/>
    <w:rsid w:val="2F7B427A"/>
    <w:rsid w:val="2F8300FC"/>
    <w:rsid w:val="2F8512FC"/>
    <w:rsid w:val="2F881E8A"/>
    <w:rsid w:val="2F963509"/>
    <w:rsid w:val="2F9652B7"/>
    <w:rsid w:val="2FC5794B"/>
    <w:rsid w:val="2FD372D6"/>
    <w:rsid w:val="2FE14059"/>
    <w:rsid w:val="2FF16992"/>
    <w:rsid w:val="30030473"/>
    <w:rsid w:val="30055365"/>
    <w:rsid w:val="30093CDB"/>
    <w:rsid w:val="304765B2"/>
    <w:rsid w:val="305B205D"/>
    <w:rsid w:val="306C7796"/>
    <w:rsid w:val="306D0ED5"/>
    <w:rsid w:val="30833A05"/>
    <w:rsid w:val="3091782D"/>
    <w:rsid w:val="30AA35A0"/>
    <w:rsid w:val="30BA3228"/>
    <w:rsid w:val="30E8612D"/>
    <w:rsid w:val="310149B3"/>
    <w:rsid w:val="311D20A3"/>
    <w:rsid w:val="313034EA"/>
    <w:rsid w:val="313528AE"/>
    <w:rsid w:val="315076E8"/>
    <w:rsid w:val="31570E00"/>
    <w:rsid w:val="31651C5A"/>
    <w:rsid w:val="31662A68"/>
    <w:rsid w:val="317E4255"/>
    <w:rsid w:val="31824A40"/>
    <w:rsid w:val="318B0720"/>
    <w:rsid w:val="319F5601"/>
    <w:rsid w:val="31B859B9"/>
    <w:rsid w:val="31C201A0"/>
    <w:rsid w:val="31C75BFC"/>
    <w:rsid w:val="31D16A7B"/>
    <w:rsid w:val="31E3055C"/>
    <w:rsid w:val="31EC7411"/>
    <w:rsid w:val="31F84A85"/>
    <w:rsid w:val="31FC4DDA"/>
    <w:rsid w:val="321E1594"/>
    <w:rsid w:val="323963CE"/>
    <w:rsid w:val="32494863"/>
    <w:rsid w:val="324B208A"/>
    <w:rsid w:val="325C73A4"/>
    <w:rsid w:val="32785148"/>
    <w:rsid w:val="32873093"/>
    <w:rsid w:val="32917FB8"/>
    <w:rsid w:val="329F4483"/>
    <w:rsid w:val="32AC0530"/>
    <w:rsid w:val="32AF043E"/>
    <w:rsid w:val="32B048E2"/>
    <w:rsid w:val="32B37F2E"/>
    <w:rsid w:val="32BF2D77"/>
    <w:rsid w:val="32C65EB4"/>
    <w:rsid w:val="32D00AE0"/>
    <w:rsid w:val="32FC32CC"/>
    <w:rsid w:val="33022C64"/>
    <w:rsid w:val="33243DAA"/>
    <w:rsid w:val="332901F1"/>
    <w:rsid w:val="332B3F69"/>
    <w:rsid w:val="33544185"/>
    <w:rsid w:val="33582884"/>
    <w:rsid w:val="33674017"/>
    <w:rsid w:val="337943A7"/>
    <w:rsid w:val="338E62A6"/>
    <w:rsid w:val="33932E1D"/>
    <w:rsid w:val="33954726"/>
    <w:rsid w:val="33997124"/>
    <w:rsid w:val="33A24E8E"/>
    <w:rsid w:val="33A62C37"/>
    <w:rsid w:val="33CD3146"/>
    <w:rsid w:val="33D939C5"/>
    <w:rsid w:val="33DD2188"/>
    <w:rsid w:val="33E32A95"/>
    <w:rsid w:val="33EA7980"/>
    <w:rsid w:val="33F17CBB"/>
    <w:rsid w:val="340D18C0"/>
    <w:rsid w:val="340D26DB"/>
    <w:rsid w:val="343432F1"/>
    <w:rsid w:val="34425A0E"/>
    <w:rsid w:val="34533777"/>
    <w:rsid w:val="345B5F6D"/>
    <w:rsid w:val="34627E5E"/>
    <w:rsid w:val="34655258"/>
    <w:rsid w:val="347656B7"/>
    <w:rsid w:val="34BE37C2"/>
    <w:rsid w:val="3512281F"/>
    <w:rsid w:val="35327830"/>
    <w:rsid w:val="35472BB0"/>
    <w:rsid w:val="354E2190"/>
    <w:rsid w:val="355107DD"/>
    <w:rsid w:val="35554E79"/>
    <w:rsid w:val="35594CB8"/>
    <w:rsid w:val="356279EA"/>
    <w:rsid w:val="35685B45"/>
    <w:rsid w:val="356B2D42"/>
    <w:rsid w:val="357E2A76"/>
    <w:rsid w:val="35926521"/>
    <w:rsid w:val="359A7AF4"/>
    <w:rsid w:val="35BC17F0"/>
    <w:rsid w:val="35CD7559"/>
    <w:rsid w:val="35E177F0"/>
    <w:rsid w:val="35E30B2B"/>
    <w:rsid w:val="35F20D6E"/>
    <w:rsid w:val="35F44AE6"/>
    <w:rsid w:val="361B6516"/>
    <w:rsid w:val="365437D6"/>
    <w:rsid w:val="36631C6B"/>
    <w:rsid w:val="36653C36"/>
    <w:rsid w:val="36746D17"/>
    <w:rsid w:val="368757BD"/>
    <w:rsid w:val="369C73A9"/>
    <w:rsid w:val="36A6394E"/>
    <w:rsid w:val="36C00E6C"/>
    <w:rsid w:val="36E258E7"/>
    <w:rsid w:val="37011394"/>
    <w:rsid w:val="37070849"/>
    <w:rsid w:val="37104F56"/>
    <w:rsid w:val="37206A37"/>
    <w:rsid w:val="37282D41"/>
    <w:rsid w:val="372E5DD5"/>
    <w:rsid w:val="373C25C9"/>
    <w:rsid w:val="373D426B"/>
    <w:rsid w:val="375C3499"/>
    <w:rsid w:val="375F0685"/>
    <w:rsid w:val="37732B1E"/>
    <w:rsid w:val="37863E63"/>
    <w:rsid w:val="3793032E"/>
    <w:rsid w:val="379F4F25"/>
    <w:rsid w:val="37A95F4C"/>
    <w:rsid w:val="37C21340"/>
    <w:rsid w:val="3809239F"/>
    <w:rsid w:val="382A2A41"/>
    <w:rsid w:val="3836588A"/>
    <w:rsid w:val="383B2EA0"/>
    <w:rsid w:val="383B6559"/>
    <w:rsid w:val="384250C9"/>
    <w:rsid w:val="384C6E5B"/>
    <w:rsid w:val="385178A7"/>
    <w:rsid w:val="385E093C"/>
    <w:rsid w:val="3869136C"/>
    <w:rsid w:val="387B14EE"/>
    <w:rsid w:val="388A17A9"/>
    <w:rsid w:val="38BD38B5"/>
    <w:rsid w:val="38D40BFF"/>
    <w:rsid w:val="38D96215"/>
    <w:rsid w:val="38F372D7"/>
    <w:rsid w:val="390B0AC4"/>
    <w:rsid w:val="39162FC5"/>
    <w:rsid w:val="391B682D"/>
    <w:rsid w:val="39253208"/>
    <w:rsid w:val="392C4597"/>
    <w:rsid w:val="39423DBA"/>
    <w:rsid w:val="39551D3F"/>
    <w:rsid w:val="395835DE"/>
    <w:rsid w:val="395F496C"/>
    <w:rsid w:val="397E0A4F"/>
    <w:rsid w:val="397F6DBC"/>
    <w:rsid w:val="3982065B"/>
    <w:rsid w:val="39924D42"/>
    <w:rsid w:val="399A24DA"/>
    <w:rsid w:val="39B73855"/>
    <w:rsid w:val="39CA209B"/>
    <w:rsid w:val="39D97124"/>
    <w:rsid w:val="39E46138"/>
    <w:rsid w:val="39EE7A9E"/>
    <w:rsid w:val="39F23A32"/>
    <w:rsid w:val="39F30EC3"/>
    <w:rsid w:val="39F33306"/>
    <w:rsid w:val="3A35391F"/>
    <w:rsid w:val="3A4D57D5"/>
    <w:rsid w:val="3A500759"/>
    <w:rsid w:val="3A59585F"/>
    <w:rsid w:val="3A5C3ADB"/>
    <w:rsid w:val="3A5D587F"/>
    <w:rsid w:val="3A683CF4"/>
    <w:rsid w:val="3A6B10EF"/>
    <w:rsid w:val="3A7C412B"/>
    <w:rsid w:val="3A830B2E"/>
    <w:rsid w:val="3AA54601"/>
    <w:rsid w:val="3AB24F6F"/>
    <w:rsid w:val="3AE25532"/>
    <w:rsid w:val="3B0340A2"/>
    <w:rsid w:val="3B0D0ED8"/>
    <w:rsid w:val="3B145C7F"/>
    <w:rsid w:val="3B19209B"/>
    <w:rsid w:val="3B1F0857"/>
    <w:rsid w:val="3B4E2EEA"/>
    <w:rsid w:val="3B514788"/>
    <w:rsid w:val="3B6E533A"/>
    <w:rsid w:val="3B781D15"/>
    <w:rsid w:val="3B824942"/>
    <w:rsid w:val="3B912DD7"/>
    <w:rsid w:val="3BAC736A"/>
    <w:rsid w:val="3BC907C3"/>
    <w:rsid w:val="3BDA477E"/>
    <w:rsid w:val="3C005315"/>
    <w:rsid w:val="3C1557B6"/>
    <w:rsid w:val="3C371BD0"/>
    <w:rsid w:val="3C5533F2"/>
    <w:rsid w:val="3C634773"/>
    <w:rsid w:val="3C686F62"/>
    <w:rsid w:val="3C720E5A"/>
    <w:rsid w:val="3C723457"/>
    <w:rsid w:val="3C776471"/>
    <w:rsid w:val="3C7A1ABD"/>
    <w:rsid w:val="3CB11B5A"/>
    <w:rsid w:val="3CBA010B"/>
    <w:rsid w:val="3CC226D6"/>
    <w:rsid w:val="3CC82828"/>
    <w:rsid w:val="3CCA034E"/>
    <w:rsid w:val="3CCA4061"/>
    <w:rsid w:val="3CDE3315"/>
    <w:rsid w:val="3CEF1865"/>
    <w:rsid w:val="3D112421"/>
    <w:rsid w:val="3D160257"/>
    <w:rsid w:val="3D1C447A"/>
    <w:rsid w:val="3D2057BC"/>
    <w:rsid w:val="3D29215E"/>
    <w:rsid w:val="3D2F28A7"/>
    <w:rsid w:val="3D68122B"/>
    <w:rsid w:val="3D747BF4"/>
    <w:rsid w:val="3D9C6226"/>
    <w:rsid w:val="3DAA0180"/>
    <w:rsid w:val="3DB932C0"/>
    <w:rsid w:val="3DC9017C"/>
    <w:rsid w:val="3DE23D70"/>
    <w:rsid w:val="3DE74F30"/>
    <w:rsid w:val="3DF31B27"/>
    <w:rsid w:val="3DFA1107"/>
    <w:rsid w:val="3DFE2BA1"/>
    <w:rsid w:val="3E015FF2"/>
    <w:rsid w:val="3E1F6A8C"/>
    <w:rsid w:val="3E247F32"/>
    <w:rsid w:val="3E304B29"/>
    <w:rsid w:val="3E444130"/>
    <w:rsid w:val="3E4704B0"/>
    <w:rsid w:val="3E52736F"/>
    <w:rsid w:val="3E545329"/>
    <w:rsid w:val="3E5A1BA6"/>
    <w:rsid w:val="3E79027E"/>
    <w:rsid w:val="3E7A2BF0"/>
    <w:rsid w:val="3E7E75F1"/>
    <w:rsid w:val="3E860BED"/>
    <w:rsid w:val="3EA66B99"/>
    <w:rsid w:val="3EAD43CC"/>
    <w:rsid w:val="3EB26AE9"/>
    <w:rsid w:val="3EBA066C"/>
    <w:rsid w:val="3EF23B8C"/>
    <w:rsid w:val="3F204B9E"/>
    <w:rsid w:val="3F281CA4"/>
    <w:rsid w:val="3F47037C"/>
    <w:rsid w:val="3F5C54AA"/>
    <w:rsid w:val="3F7942AE"/>
    <w:rsid w:val="3F98792E"/>
    <w:rsid w:val="3FA529AB"/>
    <w:rsid w:val="3FBD419A"/>
    <w:rsid w:val="3FC92B3F"/>
    <w:rsid w:val="3FCB2D5B"/>
    <w:rsid w:val="3FD6525C"/>
    <w:rsid w:val="3FE200A5"/>
    <w:rsid w:val="40055B41"/>
    <w:rsid w:val="40093884"/>
    <w:rsid w:val="40104C12"/>
    <w:rsid w:val="40152228"/>
    <w:rsid w:val="402C1113"/>
    <w:rsid w:val="403740AD"/>
    <w:rsid w:val="40387CC5"/>
    <w:rsid w:val="404460F6"/>
    <w:rsid w:val="405A7C3B"/>
    <w:rsid w:val="407231D7"/>
    <w:rsid w:val="407A652F"/>
    <w:rsid w:val="40A9050F"/>
    <w:rsid w:val="40BB2DD0"/>
    <w:rsid w:val="40BE466E"/>
    <w:rsid w:val="40C81E0C"/>
    <w:rsid w:val="40D53CF4"/>
    <w:rsid w:val="40DB1A38"/>
    <w:rsid w:val="4102009D"/>
    <w:rsid w:val="41263FC1"/>
    <w:rsid w:val="41313092"/>
    <w:rsid w:val="4148218A"/>
    <w:rsid w:val="414A2B22"/>
    <w:rsid w:val="414A4154"/>
    <w:rsid w:val="416F3BBA"/>
    <w:rsid w:val="41727207"/>
    <w:rsid w:val="41866FFD"/>
    <w:rsid w:val="418F28A6"/>
    <w:rsid w:val="418F7DB9"/>
    <w:rsid w:val="419051C8"/>
    <w:rsid w:val="41B33AA7"/>
    <w:rsid w:val="41D21EC1"/>
    <w:rsid w:val="41FD2F74"/>
    <w:rsid w:val="420850F0"/>
    <w:rsid w:val="420E710E"/>
    <w:rsid w:val="421B164C"/>
    <w:rsid w:val="42295B17"/>
    <w:rsid w:val="42330A76"/>
    <w:rsid w:val="4235280B"/>
    <w:rsid w:val="425F3425"/>
    <w:rsid w:val="42644DA1"/>
    <w:rsid w:val="42784FA7"/>
    <w:rsid w:val="428710CC"/>
    <w:rsid w:val="429531AD"/>
    <w:rsid w:val="42A653BA"/>
    <w:rsid w:val="42B070C3"/>
    <w:rsid w:val="42BD2B83"/>
    <w:rsid w:val="42CD7438"/>
    <w:rsid w:val="43000F6E"/>
    <w:rsid w:val="430F5DCE"/>
    <w:rsid w:val="430F7403"/>
    <w:rsid w:val="431871C9"/>
    <w:rsid w:val="431C77B4"/>
    <w:rsid w:val="432D1637"/>
    <w:rsid w:val="43424588"/>
    <w:rsid w:val="434500D6"/>
    <w:rsid w:val="435A0BBC"/>
    <w:rsid w:val="43712258"/>
    <w:rsid w:val="43CC07FF"/>
    <w:rsid w:val="43E51A5B"/>
    <w:rsid w:val="43EC32A0"/>
    <w:rsid w:val="43ED456A"/>
    <w:rsid w:val="43F14D5A"/>
    <w:rsid w:val="43F47CD3"/>
    <w:rsid w:val="44110F59"/>
    <w:rsid w:val="441E2C79"/>
    <w:rsid w:val="442D20B0"/>
    <w:rsid w:val="442D3994"/>
    <w:rsid w:val="44307631"/>
    <w:rsid w:val="444E3F5B"/>
    <w:rsid w:val="445B21D4"/>
    <w:rsid w:val="446121CE"/>
    <w:rsid w:val="446B0669"/>
    <w:rsid w:val="44896D41"/>
    <w:rsid w:val="448B0D0B"/>
    <w:rsid w:val="448B2AB9"/>
    <w:rsid w:val="44927617"/>
    <w:rsid w:val="44973488"/>
    <w:rsid w:val="44A377A9"/>
    <w:rsid w:val="44B72A72"/>
    <w:rsid w:val="44BF6C07"/>
    <w:rsid w:val="44DA4FC1"/>
    <w:rsid w:val="44EA77D8"/>
    <w:rsid w:val="452627E2"/>
    <w:rsid w:val="454669E0"/>
    <w:rsid w:val="454A30BA"/>
    <w:rsid w:val="45742E4C"/>
    <w:rsid w:val="45800144"/>
    <w:rsid w:val="459260C9"/>
    <w:rsid w:val="45961716"/>
    <w:rsid w:val="4597548E"/>
    <w:rsid w:val="459B31D0"/>
    <w:rsid w:val="459F3DA5"/>
    <w:rsid w:val="45B63B66"/>
    <w:rsid w:val="45BC0054"/>
    <w:rsid w:val="45DD0FB0"/>
    <w:rsid w:val="45E43E6E"/>
    <w:rsid w:val="46032B23"/>
    <w:rsid w:val="46040D75"/>
    <w:rsid w:val="46072613"/>
    <w:rsid w:val="460F3276"/>
    <w:rsid w:val="462B0F98"/>
    <w:rsid w:val="46340F2E"/>
    <w:rsid w:val="464B69A4"/>
    <w:rsid w:val="464D790E"/>
    <w:rsid w:val="467B6B5D"/>
    <w:rsid w:val="469320F9"/>
    <w:rsid w:val="469519CD"/>
    <w:rsid w:val="46B72131"/>
    <w:rsid w:val="46C51DA2"/>
    <w:rsid w:val="46C63270"/>
    <w:rsid w:val="46CC1167"/>
    <w:rsid w:val="46D00C57"/>
    <w:rsid w:val="46D47017"/>
    <w:rsid w:val="4700038B"/>
    <w:rsid w:val="4702041A"/>
    <w:rsid w:val="47115AD6"/>
    <w:rsid w:val="4712301E"/>
    <w:rsid w:val="473867FC"/>
    <w:rsid w:val="475E6263"/>
    <w:rsid w:val="47656129"/>
    <w:rsid w:val="476B0980"/>
    <w:rsid w:val="477058C2"/>
    <w:rsid w:val="47777289"/>
    <w:rsid w:val="47797541"/>
    <w:rsid w:val="47A143A2"/>
    <w:rsid w:val="47A35982"/>
    <w:rsid w:val="47A63CD1"/>
    <w:rsid w:val="47CA1B4A"/>
    <w:rsid w:val="47D227CD"/>
    <w:rsid w:val="47D7186A"/>
    <w:rsid w:val="47DC362C"/>
    <w:rsid w:val="47E669A0"/>
    <w:rsid w:val="47FD5CB7"/>
    <w:rsid w:val="48147269"/>
    <w:rsid w:val="48390A7E"/>
    <w:rsid w:val="483F42E6"/>
    <w:rsid w:val="48474F49"/>
    <w:rsid w:val="486A6E89"/>
    <w:rsid w:val="487078E0"/>
    <w:rsid w:val="487815A6"/>
    <w:rsid w:val="488A1BFC"/>
    <w:rsid w:val="48945CB4"/>
    <w:rsid w:val="48960ADD"/>
    <w:rsid w:val="489B5295"/>
    <w:rsid w:val="48AC74A2"/>
    <w:rsid w:val="48B028BF"/>
    <w:rsid w:val="48C15C0B"/>
    <w:rsid w:val="48DB1B35"/>
    <w:rsid w:val="48DD3919"/>
    <w:rsid w:val="48E24C72"/>
    <w:rsid w:val="48EB0073"/>
    <w:rsid w:val="48FE06BC"/>
    <w:rsid w:val="49333CCD"/>
    <w:rsid w:val="494979F5"/>
    <w:rsid w:val="497A30FC"/>
    <w:rsid w:val="49836455"/>
    <w:rsid w:val="498A51E1"/>
    <w:rsid w:val="49935DF0"/>
    <w:rsid w:val="49B44860"/>
    <w:rsid w:val="49C10D2B"/>
    <w:rsid w:val="4A08695A"/>
    <w:rsid w:val="4A187736"/>
    <w:rsid w:val="4A347368"/>
    <w:rsid w:val="4A443E7E"/>
    <w:rsid w:val="4A5679C1"/>
    <w:rsid w:val="4A7B712C"/>
    <w:rsid w:val="4A873D23"/>
    <w:rsid w:val="4A8A5E78"/>
    <w:rsid w:val="4A985F30"/>
    <w:rsid w:val="4AA657B5"/>
    <w:rsid w:val="4AB32D6A"/>
    <w:rsid w:val="4AB4263E"/>
    <w:rsid w:val="4AD93E52"/>
    <w:rsid w:val="4AE7656F"/>
    <w:rsid w:val="4AEC002A"/>
    <w:rsid w:val="4B045373"/>
    <w:rsid w:val="4B092567"/>
    <w:rsid w:val="4B105AC6"/>
    <w:rsid w:val="4B315276"/>
    <w:rsid w:val="4B4021B7"/>
    <w:rsid w:val="4B582549"/>
    <w:rsid w:val="4B5B6B37"/>
    <w:rsid w:val="4B5D1DE1"/>
    <w:rsid w:val="4B6236F8"/>
    <w:rsid w:val="4B797B0F"/>
    <w:rsid w:val="4B8671D2"/>
    <w:rsid w:val="4B897627"/>
    <w:rsid w:val="4B95421D"/>
    <w:rsid w:val="4BA032C9"/>
    <w:rsid w:val="4BA11521"/>
    <w:rsid w:val="4BA925D5"/>
    <w:rsid w:val="4BB07C37"/>
    <w:rsid w:val="4BB23021"/>
    <w:rsid w:val="4BCC547D"/>
    <w:rsid w:val="4BCD1C09"/>
    <w:rsid w:val="4BD411EA"/>
    <w:rsid w:val="4BD96800"/>
    <w:rsid w:val="4BDB2578"/>
    <w:rsid w:val="4C0F5D7E"/>
    <w:rsid w:val="4C0F7917"/>
    <w:rsid w:val="4C36441A"/>
    <w:rsid w:val="4C382EC4"/>
    <w:rsid w:val="4C392DFB"/>
    <w:rsid w:val="4C455C43"/>
    <w:rsid w:val="4C6D0CF6"/>
    <w:rsid w:val="4C6E6D6A"/>
    <w:rsid w:val="4C737ADC"/>
    <w:rsid w:val="4CAA3CF8"/>
    <w:rsid w:val="4CC0351C"/>
    <w:rsid w:val="4CD16E81"/>
    <w:rsid w:val="4CD314A1"/>
    <w:rsid w:val="4CE4720A"/>
    <w:rsid w:val="4CFB48EC"/>
    <w:rsid w:val="4D0D7B68"/>
    <w:rsid w:val="4D193597"/>
    <w:rsid w:val="4D287409"/>
    <w:rsid w:val="4D297313"/>
    <w:rsid w:val="4D4001B9"/>
    <w:rsid w:val="4D411C17"/>
    <w:rsid w:val="4D4203D5"/>
    <w:rsid w:val="4D4C6CD1"/>
    <w:rsid w:val="4D616AAD"/>
    <w:rsid w:val="4D7E57FA"/>
    <w:rsid w:val="4D8C1650"/>
    <w:rsid w:val="4D902EEE"/>
    <w:rsid w:val="4DAC584E"/>
    <w:rsid w:val="4DBC3CE3"/>
    <w:rsid w:val="4DD728CB"/>
    <w:rsid w:val="4DD7387C"/>
    <w:rsid w:val="4E061402"/>
    <w:rsid w:val="4E0C3478"/>
    <w:rsid w:val="4E1111F8"/>
    <w:rsid w:val="4E1123A5"/>
    <w:rsid w:val="4E2875CB"/>
    <w:rsid w:val="4E307D62"/>
    <w:rsid w:val="4E41243B"/>
    <w:rsid w:val="4E4A5793"/>
    <w:rsid w:val="4E4A7544"/>
    <w:rsid w:val="4E751CD3"/>
    <w:rsid w:val="4E78429A"/>
    <w:rsid w:val="4E8D5680"/>
    <w:rsid w:val="4EA24DCB"/>
    <w:rsid w:val="4ED4338F"/>
    <w:rsid w:val="4EE44549"/>
    <w:rsid w:val="4EF456FF"/>
    <w:rsid w:val="4F035942"/>
    <w:rsid w:val="4F271630"/>
    <w:rsid w:val="4F2D7EFC"/>
    <w:rsid w:val="4F4C553B"/>
    <w:rsid w:val="4F753AFD"/>
    <w:rsid w:val="4F7B26CD"/>
    <w:rsid w:val="4F9B0E06"/>
    <w:rsid w:val="4FB044E4"/>
    <w:rsid w:val="4FB410CF"/>
    <w:rsid w:val="4FEE65F2"/>
    <w:rsid w:val="4FF20C57"/>
    <w:rsid w:val="50106568"/>
    <w:rsid w:val="501871CB"/>
    <w:rsid w:val="502E78D5"/>
    <w:rsid w:val="503B25E4"/>
    <w:rsid w:val="507E1724"/>
    <w:rsid w:val="50A62A29"/>
    <w:rsid w:val="50AE32FC"/>
    <w:rsid w:val="50BC2015"/>
    <w:rsid w:val="50DD28EE"/>
    <w:rsid w:val="5116195C"/>
    <w:rsid w:val="512322CB"/>
    <w:rsid w:val="513818A7"/>
    <w:rsid w:val="51620A14"/>
    <w:rsid w:val="518B31EB"/>
    <w:rsid w:val="51932FAD"/>
    <w:rsid w:val="51C02AAF"/>
    <w:rsid w:val="51C83199"/>
    <w:rsid w:val="51DA5080"/>
    <w:rsid w:val="51DC4954"/>
    <w:rsid w:val="51E01241"/>
    <w:rsid w:val="52312D27"/>
    <w:rsid w:val="523253D7"/>
    <w:rsid w:val="523522B6"/>
    <w:rsid w:val="525941F7"/>
    <w:rsid w:val="525A7F6F"/>
    <w:rsid w:val="525B30B6"/>
    <w:rsid w:val="526037D7"/>
    <w:rsid w:val="526F0F67"/>
    <w:rsid w:val="52A35686"/>
    <w:rsid w:val="52B4142D"/>
    <w:rsid w:val="52EC6BE6"/>
    <w:rsid w:val="52ED493F"/>
    <w:rsid w:val="52F537F4"/>
    <w:rsid w:val="53205C75"/>
    <w:rsid w:val="53281E1B"/>
    <w:rsid w:val="532C190B"/>
    <w:rsid w:val="534A1D91"/>
    <w:rsid w:val="536800EB"/>
    <w:rsid w:val="537B63EF"/>
    <w:rsid w:val="539354E6"/>
    <w:rsid w:val="53BD2563"/>
    <w:rsid w:val="53C546E8"/>
    <w:rsid w:val="53E775E0"/>
    <w:rsid w:val="542B571F"/>
    <w:rsid w:val="54307C7C"/>
    <w:rsid w:val="543F741C"/>
    <w:rsid w:val="54520EFE"/>
    <w:rsid w:val="54686973"/>
    <w:rsid w:val="546F6218"/>
    <w:rsid w:val="547F3CBD"/>
    <w:rsid w:val="54BA4CF5"/>
    <w:rsid w:val="54E471CF"/>
    <w:rsid w:val="550E3AAC"/>
    <w:rsid w:val="5541211F"/>
    <w:rsid w:val="55434CEA"/>
    <w:rsid w:val="55474E28"/>
    <w:rsid w:val="554E0D02"/>
    <w:rsid w:val="555D2250"/>
    <w:rsid w:val="555D3FFE"/>
    <w:rsid w:val="556035C4"/>
    <w:rsid w:val="559D089E"/>
    <w:rsid w:val="55A21A11"/>
    <w:rsid w:val="55CD539B"/>
    <w:rsid w:val="55F746FE"/>
    <w:rsid w:val="560E7AD9"/>
    <w:rsid w:val="561623FF"/>
    <w:rsid w:val="561F3061"/>
    <w:rsid w:val="563D5BDD"/>
    <w:rsid w:val="56800EC5"/>
    <w:rsid w:val="56A77D1E"/>
    <w:rsid w:val="56A77ED4"/>
    <w:rsid w:val="56AD4B11"/>
    <w:rsid w:val="56DA167E"/>
    <w:rsid w:val="570A0F3A"/>
    <w:rsid w:val="5714693E"/>
    <w:rsid w:val="57633422"/>
    <w:rsid w:val="57646D20"/>
    <w:rsid w:val="57783371"/>
    <w:rsid w:val="57995574"/>
    <w:rsid w:val="579B2BBB"/>
    <w:rsid w:val="57A777B2"/>
    <w:rsid w:val="57AF6667"/>
    <w:rsid w:val="57B7551B"/>
    <w:rsid w:val="57BB331D"/>
    <w:rsid w:val="57CA16F3"/>
    <w:rsid w:val="57CD1786"/>
    <w:rsid w:val="57DB3900"/>
    <w:rsid w:val="57DE1EC2"/>
    <w:rsid w:val="57DE6F4C"/>
    <w:rsid w:val="57EC78BB"/>
    <w:rsid w:val="57F347A6"/>
    <w:rsid w:val="57FD5624"/>
    <w:rsid w:val="580E11C7"/>
    <w:rsid w:val="582011D6"/>
    <w:rsid w:val="58247055"/>
    <w:rsid w:val="58262DCD"/>
    <w:rsid w:val="583A23D4"/>
    <w:rsid w:val="58450D79"/>
    <w:rsid w:val="5852361E"/>
    <w:rsid w:val="58527AD6"/>
    <w:rsid w:val="58690919"/>
    <w:rsid w:val="586D09FC"/>
    <w:rsid w:val="586E6522"/>
    <w:rsid w:val="58737694"/>
    <w:rsid w:val="58883A0E"/>
    <w:rsid w:val="58A310F9"/>
    <w:rsid w:val="58AA1DD9"/>
    <w:rsid w:val="58B55EFF"/>
    <w:rsid w:val="58BC1051"/>
    <w:rsid w:val="58CB27A8"/>
    <w:rsid w:val="58CD3249"/>
    <w:rsid w:val="58DE7EC9"/>
    <w:rsid w:val="58DF0A8C"/>
    <w:rsid w:val="58E87661"/>
    <w:rsid w:val="58E95338"/>
    <w:rsid w:val="590429E2"/>
    <w:rsid w:val="5905528F"/>
    <w:rsid w:val="59197DC3"/>
    <w:rsid w:val="59201E0F"/>
    <w:rsid w:val="592875B7"/>
    <w:rsid w:val="59371B0D"/>
    <w:rsid w:val="595E6596"/>
    <w:rsid w:val="595F4625"/>
    <w:rsid w:val="5960230F"/>
    <w:rsid w:val="596932BB"/>
    <w:rsid w:val="596A6CE9"/>
    <w:rsid w:val="596D2336"/>
    <w:rsid w:val="5991071A"/>
    <w:rsid w:val="59941FB8"/>
    <w:rsid w:val="59B631C1"/>
    <w:rsid w:val="59BB5797"/>
    <w:rsid w:val="59D32AE1"/>
    <w:rsid w:val="59E635AC"/>
    <w:rsid w:val="5A0013FC"/>
    <w:rsid w:val="5A105AE3"/>
    <w:rsid w:val="5A19703F"/>
    <w:rsid w:val="5A1D40BE"/>
    <w:rsid w:val="5A3572F7"/>
    <w:rsid w:val="5A362A5B"/>
    <w:rsid w:val="5A3A490E"/>
    <w:rsid w:val="5A4802D0"/>
    <w:rsid w:val="5A61633E"/>
    <w:rsid w:val="5AA12BDF"/>
    <w:rsid w:val="5AAC0DD3"/>
    <w:rsid w:val="5AB02E22"/>
    <w:rsid w:val="5AC16DDD"/>
    <w:rsid w:val="5ACE32A8"/>
    <w:rsid w:val="5AD07020"/>
    <w:rsid w:val="5AD22D98"/>
    <w:rsid w:val="5B345801"/>
    <w:rsid w:val="5B4172F8"/>
    <w:rsid w:val="5B461090"/>
    <w:rsid w:val="5B590DC3"/>
    <w:rsid w:val="5B7038B7"/>
    <w:rsid w:val="5B7C4AB2"/>
    <w:rsid w:val="5B8B6761"/>
    <w:rsid w:val="5B962018"/>
    <w:rsid w:val="5B9938B6"/>
    <w:rsid w:val="5B9C4BCA"/>
    <w:rsid w:val="5BAA47CD"/>
    <w:rsid w:val="5BB97AB4"/>
    <w:rsid w:val="5BD14DFE"/>
    <w:rsid w:val="5BE35DAA"/>
    <w:rsid w:val="5BF359E5"/>
    <w:rsid w:val="5C0304F7"/>
    <w:rsid w:val="5C076A71"/>
    <w:rsid w:val="5C1A15A1"/>
    <w:rsid w:val="5C25339C"/>
    <w:rsid w:val="5C2A6C04"/>
    <w:rsid w:val="5C34538D"/>
    <w:rsid w:val="5C403D31"/>
    <w:rsid w:val="5C4E644E"/>
    <w:rsid w:val="5C702869"/>
    <w:rsid w:val="5C7C5BB4"/>
    <w:rsid w:val="5C9E1349"/>
    <w:rsid w:val="5CA729BF"/>
    <w:rsid w:val="5CB5471F"/>
    <w:rsid w:val="5CB72C4F"/>
    <w:rsid w:val="5CC65E9F"/>
    <w:rsid w:val="5CE768A3"/>
    <w:rsid w:val="5CF07506"/>
    <w:rsid w:val="5CF64FE0"/>
    <w:rsid w:val="5D1F428F"/>
    <w:rsid w:val="5D1F603D"/>
    <w:rsid w:val="5D423AD9"/>
    <w:rsid w:val="5D4D2BAA"/>
    <w:rsid w:val="5D5405EB"/>
    <w:rsid w:val="5D5C51DC"/>
    <w:rsid w:val="5D5E4DB7"/>
    <w:rsid w:val="5D627115"/>
    <w:rsid w:val="5D63417B"/>
    <w:rsid w:val="5D681792"/>
    <w:rsid w:val="5D72616D"/>
    <w:rsid w:val="5D79399F"/>
    <w:rsid w:val="5D7F6ADB"/>
    <w:rsid w:val="5D9E1345"/>
    <w:rsid w:val="5DB760B7"/>
    <w:rsid w:val="5DBB3FB7"/>
    <w:rsid w:val="5DCA244C"/>
    <w:rsid w:val="5DCA7D57"/>
    <w:rsid w:val="5DCF35BF"/>
    <w:rsid w:val="5DE057CC"/>
    <w:rsid w:val="5DE8778C"/>
    <w:rsid w:val="5DFD1C4F"/>
    <w:rsid w:val="5E180BAB"/>
    <w:rsid w:val="5E2002BE"/>
    <w:rsid w:val="5E483371"/>
    <w:rsid w:val="5E4A533B"/>
    <w:rsid w:val="5E6A153A"/>
    <w:rsid w:val="5E714676"/>
    <w:rsid w:val="5E861633"/>
    <w:rsid w:val="5E9465B6"/>
    <w:rsid w:val="5E9640DD"/>
    <w:rsid w:val="5EBB4278"/>
    <w:rsid w:val="5EC073AC"/>
    <w:rsid w:val="5EC62C14"/>
    <w:rsid w:val="5ED510A9"/>
    <w:rsid w:val="5F011E9E"/>
    <w:rsid w:val="5F0454EA"/>
    <w:rsid w:val="5F180F96"/>
    <w:rsid w:val="5F1A6ABC"/>
    <w:rsid w:val="5F1F0DB8"/>
    <w:rsid w:val="5F21609C"/>
    <w:rsid w:val="5F2B2A77"/>
    <w:rsid w:val="5F322057"/>
    <w:rsid w:val="5F352256"/>
    <w:rsid w:val="5F593A88"/>
    <w:rsid w:val="5F5C2898"/>
    <w:rsid w:val="5F5F0972"/>
    <w:rsid w:val="5F724B4A"/>
    <w:rsid w:val="5F750196"/>
    <w:rsid w:val="5F781A34"/>
    <w:rsid w:val="5F8328B3"/>
    <w:rsid w:val="5F851FA3"/>
    <w:rsid w:val="5F903222"/>
    <w:rsid w:val="5F906D7E"/>
    <w:rsid w:val="5F97635E"/>
    <w:rsid w:val="5FA97E40"/>
    <w:rsid w:val="5FAF18FA"/>
    <w:rsid w:val="5FCB425A"/>
    <w:rsid w:val="600018B2"/>
    <w:rsid w:val="6025124B"/>
    <w:rsid w:val="60416BA0"/>
    <w:rsid w:val="604B7820"/>
    <w:rsid w:val="60514A9F"/>
    <w:rsid w:val="6052134B"/>
    <w:rsid w:val="605B4E7D"/>
    <w:rsid w:val="606B7084"/>
    <w:rsid w:val="60792FA8"/>
    <w:rsid w:val="608A76E7"/>
    <w:rsid w:val="608E6D84"/>
    <w:rsid w:val="608F5287"/>
    <w:rsid w:val="609D5BF6"/>
    <w:rsid w:val="60B116A2"/>
    <w:rsid w:val="60C018E5"/>
    <w:rsid w:val="60CA62C0"/>
    <w:rsid w:val="60F46F48"/>
    <w:rsid w:val="610A1E24"/>
    <w:rsid w:val="616109D2"/>
    <w:rsid w:val="61695AD8"/>
    <w:rsid w:val="616D55C9"/>
    <w:rsid w:val="61730729"/>
    <w:rsid w:val="61891CD7"/>
    <w:rsid w:val="61970C45"/>
    <w:rsid w:val="61BC3E5A"/>
    <w:rsid w:val="61CE09E0"/>
    <w:rsid w:val="61D06A91"/>
    <w:rsid w:val="61D07906"/>
    <w:rsid w:val="61E21C24"/>
    <w:rsid w:val="61E3588B"/>
    <w:rsid w:val="61F335F4"/>
    <w:rsid w:val="620749D5"/>
    <w:rsid w:val="620C3034"/>
    <w:rsid w:val="62214B27"/>
    <w:rsid w:val="62412BF7"/>
    <w:rsid w:val="624E291A"/>
    <w:rsid w:val="625075D7"/>
    <w:rsid w:val="628A4F1A"/>
    <w:rsid w:val="628F5A13"/>
    <w:rsid w:val="62943029"/>
    <w:rsid w:val="62AA0157"/>
    <w:rsid w:val="62D17DD9"/>
    <w:rsid w:val="62DD22DA"/>
    <w:rsid w:val="62E93375"/>
    <w:rsid w:val="62FB09B2"/>
    <w:rsid w:val="62FC54E5"/>
    <w:rsid w:val="630B32EB"/>
    <w:rsid w:val="631877B6"/>
    <w:rsid w:val="63260125"/>
    <w:rsid w:val="632C3261"/>
    <w:rsid w:val="632D4659"/>
    <w:rsid w:val="63310878"/>
    <w:rsid w:val="63344891"/>
    <w:rsid w:val="63365E8E"/>
    <w:rsid w:val="6337070E"/>
    <w:rsid w:val="633D721D"/>
    <w:rsid w:val="63620A31"/>
    <w:rsid w:val="636660A1"/>
    <w:rsid w:val="63783C4F"/>
    <w:rsid w:val="63AB23D8"/>
    <w:rsid w:val="63BA6ABF"/>
    <w:rsid w:val="63C4349A"/>
    <w:rsid w:val="63D25BB7"/>
    <w:rsid w:val="63FC2C34"/>
    <w:rsid w:val="63FF0976"/>
    <w:rsid w:val="640E000F"/>
    <w:rsid w:val="641546C5"/>
    <w:rsid w:val="646749E8"/>
    <w:rsid w:val="646B1B68"/>
    <w:rsid w:val="646F5052"/>
    <w:rsid w:val="64772749"/>
    <w:rsid w:val="647C3D75"/>
    <w:rsid w:val="64801AB7"/>
    <w:rsid w:val="6481138B"/>
    <w:rsid w:val="648B17B6"/>
    <w:rsid w:val="64A34934"/>
    <w:rsid w:val="64AF414A"/>
    <w:rsid w:val="64BB6D2A"/>
    <w:rsid w:val="64CE13FE"/>
    <w:rsid w:val="64DD0CB7"/>
    <w:rsid w:val="64E2007C"/>
    <w:rsid w:val="64F733FB"/>
    <w:rsid w:val="65111676"/>
    <w:rsid w:val="65644F35"/>
    <w:rsid w:val="656767D3"/>
    <w:rsid w:val="6570487F"/>
    <w:rsid w:val="65822409"/>
    <w:rsid w:val="659A2704"/>
    <w:rsid w:val="65B5189C"/>
    <w:rsid w:val="65B55790"/>
    <w:rsid w:val="65C92FEA"/>
    <w:rsid w:val="65D35C16"/>
    <w:rsid w:val="65F242EE"/>
    <w:rsid w:val="660202AA"/>
    <w:rsid w:val="660B715E"/>
    <w:rsid w:val="66392A3C"/>
    <w:rsid w:val="66577DA2"/>
    <w:rsid w:val="665F7764"/>
    <w:rsid w:val="669F406B"/>
    <w:rsid w:val="66AE3090"/>
    <w:rsid w:val="66E83943"/>
    <w:rsid w:val="66EE2624"/>
    <w:rsid w:val="66F129A0"/>
    <w:rsid w:val="66F5302E"/>
    <w:rsid w:val="670F2C7E"/>
    <w:rsid w:val="67202D1E"/>
    <w:rsid w:val="672901E4"/>
    <w:rsid w:val="675039C2"/>
    <w:rsid w:val="676D5174"/>
    <w:rsid w:val="67876CB8"/>
    <w:rsid w:val="678A0557"/>
    <w:rsid w:val="678E45EA"/>
    <w:rsid w:val="682178C8"/>
    <w:rsid w:val="682A7CEC"/>
    <w:rsid w:val="682D3D04"/>
    <w:rsid w:val="68330BEE"/>
    <w:rsid w:val="68336E40"/>
    <w:rsid w:val="6838203F"/>
    <w:rsid w:val="683A4F0A"/>
    <w:rsid w:val="684600B8"/>
    <w:rsid w:val="686D4100"/>
    <w:rsid w:val="687E00BB"/>
    <w:rsid w:val="689E1F58"/>
    <w:rsid w:val="68AB231B"/>
    <w:rsid w:val="68CF0917"/>
    <w:rsid w:val="690C4517"/>
    <w:rsid w:val="690F401E"/>
    <w:rsid w:val="69353BE9"/>
    <w:rsid w:val="69432E24"/>
    <w:rsid w:val="694A61EF"/>
    <w:rsid w:val="69565FE2"/>
    <w:rsid w:val="69777C99"/>
    <w:rsid w:val="698E2580"/>
    <w:rsid w:val="69C266CE"/>
    <w:rsid w:val="69E623BC"/>
    <w:rsid w:val="69EC54F9"/>
    <w:rsid w:val="69FC1BE0"/>
    <w:rsid w:val="69FF522C"/>
    <w:rsid w:val="6A1A2066"/>
    <w:rsid w:val="6A29138C"/>
    <w:rsid w:val="6A2C3B47"/>
    <w:rsid w:val="6A3C13E7"/>
    <w:rsid w:val="6A413A96"/>
    <w:rsid w:val="6A4B66C3"/>
    <w:rsid w:val="6A503CD9"/>
    <w:rsid w:val="6A507835"/>
    <w:rsid w:val="6A5512F0"/>
    <w:rsid w:val="6A5C442C"/>
    <w:rsid w:val="6A616582"/>
    <w:rsid w:val="6A9260A0"/>
    <w:rsid w:val="6A982996"/>
    <w:rsid w:val="6AAD4C88"/>
    <w:rsid w:val="6AB3544C"/>
    <w:rsid w:val="6AC45C2D"/>
    <w:rsid w:val="6ACA1C62"/>
    <w:rsid w:val="6ACF4DB3"/>
    <w:rsid w:val="6AD20B92"/>
    <w:rsid w:val="6AD755DA"/>
    <w:rsid w:val="6AE34B4E"/>
    <w:rsid w:val="6B0A3BAD"/>
    <w:rsid w:val="6B2156CF"/>
    <w:rsid w:val="6B2676D9"/>
    <w:rsid w:val="6B2F06B5"/>
    <w:rsid w:val="6B321631"/>
    <w:rsid w:val="6B3C7946"/>
    <w:rsid w:val="6B3D4F47"/>
    <w:rsid w:val="6B47294E"/>
    <w:rsid w:val="6B625A72"/>
    <w:rsid w:val="6B7917F7"/>
    <w:rsid w:val="6B88057B"/>
    <w:rsid w:val="6B9145AA"/>
    <w:rsid w:val="6B9F6CC6"/>
    <w:rsid w:val="6BA20565"/>
    <w:rsid w:val="6BA73DCD"/>
    <w:rsid w:val="6BAA11C7"/>
    <w:rsid w:val="6BF608B1"/>
    <w:rsid w:val="6C050D54"/>
    <w:rsid w:val="6C0B610A"/>
    <w:rsid w:val="6C141EFD"/>
    <w:rsid w:val="6C427652"/>
    <w:rsid w:val="6C5A7A8C"/>
    <w:rsid w:val="6C5E257D"/>
    <w:rsid w:val="6C5F0204"/>
    <w:rsid w:val="6C6E48EB"/>
    <w:rsid w:val="6C7A6DEC"/>
    <w:rsid w:val="6C9C1458"/>
    <w:rsid w:val="6CA125CA"/>
    <w:rsid w:val="6CAC599B"/>
    <w:rsid w:val="6CB26586"/>
    <w:rsid w:val="6CC63812"/>
    <w:rsid w:val="6CD429A0"/>
    <w:rsid w:val="6CFF105E"/>
    <w:rsid w:val="6D3C0545"/>
    <w:rsid w:val="6D404677"/>
    <w:rsid w:val="6D4D4500"/>
    <w:rsid w:val="6D54588F"/>
    <w:rsid w:val="6D667370"/>
    <w:rsid w:val="6D765805"/>
    <w:rsid w:val="6D903A10"/>
    <w:rsid w:val="6D940381"/>
    <w:rsid w:val="6D9C0D39"/>
    <w:rsid w:val="6D9C0FE4"/>
    <w:rsid w:val="6DB97359"/>
    <w:rsid w:val="6DCF13B9"/>
    <w:rsid w:val="6DD4077E"/>
    <w:rsid w:val="6DDE1315"/>
    <w:rsid w:val="6E3D4575"/>
    <w:rsid w:val="6E405E13"/>
    <w:rsid w:val="6E480585"/>
    <w:rsid w:val="6E4870B7"/>
    <w:rsid w:val="6E9144C3"/>
    <w:rsid w:val="6EA43AB0"/>
    <w:rsid w:val="6EAE1443"/>
    <w:rsid w:val="6EB23273"/>
    <w:rsid w:val="6EC16F54"/>
    <w:rsid w:val="6EDA6267"/>
    <w:rsid w:val="6F196D90"/>
    <w:rsid w:val="6F2B0871"/>
    <w:rsid w:val="6F3048EC"/>
    <w:rsid w:val="6F305E87"/>
    <w:rsid w:val="6F307C36"/>
    <w:rsid w:val="6F433E0D"/>
    <w:rsid w:val="6F6859A2"/>
    <w:rsid w:val="6F8B61B3"/>
    <w:rsid w:val="6F946416"/>
    <w:rsid w:val="6FAD2EAE"/>
    <w:rsid w:val="6FD131C7"/>
    <w:rsid w:val="6FDD0EF3"/>
    <w:rsid w:val="700A66D9"/>
    <w:rsid w:val="700C27C9"/>
    <w:rsid w:val="702754DC"/>
    <w:rsid w:val="702F4391"/>
    <w:rsid w:val="7036571F"/>
    <w:rsid w:val="70495453"/>
    <w:rsid w:val="70741DA4"/>
    <w:rsid w:val="70761FC0"/>
    <w:rsid w:val="707B75D6"/>
    <w:rsid w:val="707F70C6"/>
    <w:rsid w:val="708727AC"/>
    <w:rsid w:val="708E2E66"/>
    <w:rsid w:val="708F6BDE"/>
    <w:rsid w:val="709A3F00"/>
    <w:rsid w:val="70E60EF4"/>
    <w:rsid w:val="70F829D5"/>
    <w:rsid w:val="70FA2C88"/>
    <w:rsid w:val="70FF1FB5"/>
    <w:rsid w:val="71086DF8"/>
    <w:rsid w:val="710870BC"/>
    <w:rsid w:val="71193077"/>
    <w:rsid w:val="712565D7"/>
    <w:rsid w:val="712B31E0"/>
    <w:rsid w:val="71511290"/>
    <w:rsid w:val="7157594D"/>
    <w:rsid w:val="7161307A"/>
    <w:rsid w:val="716167CC"/>
    <w:rsid w:val="71685DAD"/>
    <w:rsid w:val="71724535"/>
    <w:rsid w:val="71797903"/>
    <w:rsid w:val="718524BB"/>
    <w:rsid w:val="71995F66"/>
    <w:rsid w:val="719B0230"/>
    <w:rsid w:val="71A656EE"/>
    <w:rsid w:val="71AB5C99"/>
    <w:rsid w:val="71B132B0"/>
    <w:rsid w:val="71B20DD6"/>
    <w:rsid w:val="71BB2380"/>
    <w:rsid w:val="71BE3C1E"/>
    <w:rsid w:val="71E754CD"/>
    <w:rsid w:val="722A12B4"/>
    <w:rsid w:val="724E4FA2"/>
    <w:rsid w:val="726F7E37"/>
    <w:rsid w:val="72712A3F"/>
    <w:rsid w:val="72800ED4"/>
    <w:rsid w:val="7289422C"/>
    <w:rsid w:val="728A3B01"/>
    <w:rsid w:val="728F12F7"/>
    <w:rsid w:val="729A0172"/>
    <w:rsid w:val="72A93F87"/>
    <w:rsid w:val="72BF37AA"/>
    <w:rsid w:val="72C15774"/>
    <w:rsid w:val="72D80D10"/>
    <w:rsid w:val="72D964AF"/>
    <w:rsid w:val="72DD00D4"/>
    <w:rsid w:val="72DD1E82"/>
    <w:rsid w:val="72EE5E3E"/>
    <w:rsid w:val="73351024"/>
    <w:rsid w:val="73357F10"/>
    <w:rsid w:val="7338319D"/>
    <w:rsid w:val="73397174"/>
    <w:rsid w:val="73410663"/>
    <w:rsid w:val="734939BC"/>
    <w:rsid w:val="73593BFF"/>
    <w:rsid w:val="736B56E0"/>
    <w:rsid w:val="736F3422"/>
    <w:rsid w:val="737A60AA"/>
    <w:rsid w:val="738E11E6"/>
    <w:rsid w:val="739B3916"/>
    <w:rsid w:val="73A100AF"/>
    <w:rsid w:val="73AD7AA7"/>
    <w:rsid w:val="73B250BD"/>
    <w:rsid w:val="73BC5118"/>
    <w:rsid w:val="73C459E5"/>
    <w:rsid w:val="740D49E9"/>
    <w:rsid w:val="7440091B"/>
    <w:rsid w:val="74557335"/>
    <w:rsid w:val="745B39A7"/>
    <w:rsid w:val="74604095"/>
    <w:rsid w:val="74655873"/>
    <w:rsid w:val="747814CB"/>
    <w:rsid w:val="74792018"/>
    <w:rsid w:val="74815520"/>
    <w:rsid w:val="74820F33"/>
    <w:rsid w:val="74A52E74"/>
    <w:rsid w:val="74C72DEA"/>
    <w:rsid w:val="74CA6436"/>
    <w:rsid w:val="74D235A7"/>
    <w:rsid w:val="74DF6386"/>
    <w:rsid w:val="74F824B0"/>
    <w:rsid w:val="75014A00"/>
    <w:rsid w:val="7521074C"/>
    <w:rsid w:val="75247969"/>
    <w:rsid w:val="7535244A"/>
    <w:rsid w:val="753C7334"/>
    <w:rsid w:val="755B0018"/>
    <w:rsid w:val="755C668A"/>
    <w:rsid w:val="75696EA7"/>
    <w:rsid w:val="75814EB7"/>
    <w:rsid w:val="75856698"/>
    <w:rsid w:val="75A243FE"/>
    <w:rsid w:val="75C95155"/>
    <w:rsid w:val="75E9202D"/>
    <w:rsid w:val="76053BCA"/>
    <w:rsid w:val="7625426C"/>
    <w:rsid w:val="76277665"/>
    <w:rsid w:val="765E1439"/>
    <w:rsid w:val="76634D94"/>
    <w:rsid w:val="767243C4"/>
    <w:rsid w:val="76772E0A"/>
    <w:rsid w:val="767D5E56"/>
    <w:rsid w:val="768F16E6"/>
    <w:rsid w:val="768F7938"/>
    <w:rsid w:val="7693567A"/>
    <w:rsid w:val="76943163"/>
    <w:rsid w:val="769767EC"/>
    <w:rsid w:val="76AB5F15"/>
    <w:rsid w:val="76B13D52"/>
    <w:rsid w:val="76C06B0A"/>
    <w:rsid w:val="76C27D0D"/>
    <w:rsid w:val="76CA6BC2"/>
    <w:rsid w:val="76D10AB1"/>
    <w:rsid w:val="76F123A0"/>
    <w:rsid w:val="76FF2D0F"/>
    <w:rsid w:val="770255BB"/>
    <w:rsid w:val="772269FE"/>
    <w:rsid w:val="773D2B41"/>
    <w:rsid w:val="774921DC"/>
    <w:rsid w:val="77505319"/>
    <w:rsid w:val="77707769"/>
    <w:rsid w:val="77752FD1"/>
    <w:rsid w:val="777F5675"/>
    <w:rsid w:val="77813724"/>
    <w:rsid w:val="77894387"/>
    <w:rsid w:val="77897DAF"/>
    <w:rsid w:val="778A1259"/>
    <w:rsid w:val="778D78FD"/>
    <w:rsid w:val="77AE3DED"/>
    <w:rsid w:val="77D31AA6"/>
    <w:rsid w:val="77F42826"/>
    <w:rsid w:val="7807775C"/>
    <w:rsid w:val="780B56E4"/>
    <w:rsid w:val="781400F4"/>
    <w:rsid w:val="78252301"/>
    <w:rsid w:val="782F13D2"/>
    <w:rsid w:val="78331275"/>
    <w:rsid w:val="7847671C"/>
    <w:rsid w:val="785B3F75"/>
    <w:rsid w:val="788A03B6"/>
    <w:rsid w:val="78AF69D1"/>
    <w:rsid w:val="78BA4D5D"/>
    <w:rsid w:val="78E80676"/>
    <w:rsid w:val="790E548B"/>
    <w:rsid w:val="792211B1"/>
    <w:rsid w:val="792B7DEB"/>
    <w:rsid w:val="792D7857"/>
    <w:rsid w:val="794E7636"/>
    <w:rsid w:val="79690914"/>
    <w:rsid w:val="79752E15"/>
    <w:rsid w:val="7985683A"/>
    <w:rsid w:val="79927E6B"/>
    <w:rsid w:val="79951709"/>
    <w:rsid w:val="79975481"/>
    <w:rsid w:val="799A0876"/>
    <w:rsid w:val="799C1113"/>
    <w:rsid w:val="79C142AC"/>
    <w:rsid w:val="79E5178B"/>
    <w:rsid w:val="79FF3026"/>
    <w:rsid w:val="7A014FB5"/>
    <w:rsid w:val="7A1C7734"/>
    <w:rsid w:val="7A393AB3"/>
    <w:rsid w:val="7A5B64AE"/>
    <w:rsid w:val="7A6D7F90"/>
    <w:rsid w:val="7A7438E4"/>
    <w:rsid w:val="7A794B87"/>
    <w:rsid w:val="7A7E6022"/>
    <w:rsid w:val="7AAE5DC9"/>
    <w:rsid w:val="7AD33552"/>
    <w:rsid w:val="7AF10BC1"/>
    <w:rsid w:val="7B0902A1"/>
    <w:rsid w:val="7B22117E"/>
    <w:rsid w:val="7B566C76"/>
    <w:rsid w:val="7B7610C6"/>
    <w:rsid w:val="7BB07C50"/>
    <w:rsid w:val="7BBD009E"/>
    <w:rsid w:val="7BBE125A"/>
    <w:rsid w:val="7BC652F2"/>
    <w:rsid w:val="7BD1454E"/>
    <w:rsid w:val="7BDA540C"/>
    <w:rsid w:val="7BEC3944"/>
    <w:rsid w:val="7C044924"/>
    <w:rsid w:val="7C0A3E8D"/>
    <w:rsid w:val="7C0D1A2A"/>
    <w:rsid w:val="7C217284"/>
    <w:rsid w:val="7C266648"/>
    <w:rsid w:val="7C2823C0"/>
    <w:rsid w:val="7C2E5E52"/>
    <w:rsid w:val="7C39281F"/>
    <w:rsid w:val="7C6D24C9"/>
    <w:rsid w:val="7C7058BD"/>
    <w:rsid w:val="7C75316F"/>
    <w:rsid w:val="7C790E6E"/>
    <w:rsid w:val="7C8D4919"/>
    <w:rsid w:val="7CA64A0C"/>
    <w:rsid w:val="7CAB2FF1"/>
    <w:rsid w:val="7CB55E4C"/>
    <w:rsid w:val="7CCD11BA"/>
    <w:rsid w:val="7CCF0A8E"/>
    <w:rsid w:val="7CE7227B"/>
    <w:rsid w:val="7CED21F4"/>
    <w:rsid w:val="7CFF3632"/>
    <w:rsid w:val="7D0270B5"/>
    <w:rsid w:val="7D2B7277"/>
    <w:rsid w:val="7D2C7C8E"/>
    <w:rsid w:val="7D5C3AF1"/>
    <w:rsid w:val="7D626289"/>
    <w:rsid w:val="7D684AEE"/>
    <w:rsid w:val="7D713228"/>
    <w:rsid w:val="7D7635FF"/>
    <w:rsid w:val="7D9A0667"/>
    <w:rsid w:val="7DAC7021"/>
    <w:rsid w:val="7DCC7FF1"/>
    <w:rsid w:val="7DDA1DE0"/>
    <w:rsid w:val="7DE85681"/>
    <w:rsid w:val="7DE964AE"/>
    <w:rsid w:val="7DFD787D"/>
    <w:rsid w:val="7DFF7E11"/>
    <w:rsid w:val="7E1370A0"/>
    <w:rsid w:val="7E2D1F10"/>
    <w:rsid w:val="7E3A132F"/>
    <w:rsid w:val="7E45730E"/>
    <w:rsid w:val="7E470AF8"/>
    <w:rsid w:val="7E53162F"/>
    <w:rsid w:val="7E5971A9"/>
    <w:rsid w:val="7E645D4D"/>
    <w:rsid w:val="7E6671D0"/>
    <w:rsid w:val="7E6D4A02"/>
    <w:rsid w:val="7E7B227F"/>
    <w:rsid w:val="7E8966CA"/>
    <w:rsid w:val="7E9669E4"/>
    <w:rsid w:val="7EA41B0D"/>
    <w:rsid w:val="7EA47201"/>
    <w:rsid w:val="7EB20667"/>
    <w:rsid w:val="7EB374D1"/>
    <w:rsid w:val="7EB75C7D"/>
    <w:rsid w:val="7EC116E2"/>
    <w:rsid w:val="7EC637CE"/>
    <w:rsid w:val="7ED5614E"/>
    <w:rsid w:val="7F052E8D"/>
    <w:rsid w:val="7F1F7194"/>
    <w:rsid w:val="7F370B6C"/>
    <w:rsid w:val="7F6C4CBA"/>
    <w:rsid w:val="7F6D458E"/>
    <w:rsid w:val="7F8917D8"/>
    <w:rsid w:val="7F995383"/>
    <w:rsid w:val="7FBE4DEA"/>
    <w:rsid w:val="7FD85EAB"/>
    <w:rsid w:val="7FE74340"/>
    <w:rsid w:val="7FEE0631"/>
    <w:rsid w:val="7FF32CE5"/>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F8EF7A"/>
  <w15:docId w15:val="{B0A11CE8-CDF7-4D15-BEDA-8F68D816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Body Text First Indent" w:qFormat="1"/>
    <w:lsdException w:name="Body Text Indent 2"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jc w:val="both"/>
    </w:pPr>
    <w:rPr>
      <w:rFonts w:ascii="Calibri" w:hAnsi="Calibri" w:cs="宋体"/>
      <w:kern w:val="2"/>
      <w:sz w:val="21"/>
      <w:szCs w:val="24"/>
    </w:rPr>
  </w:style>
  <w:style w:type="paragraph" w:styleId="1">
    <w:name w:val="heading 1"/>
    <w:basedOn w:val="a2"/>
    <w:next w:val="a2"/>
    <w:link w:val="10"/>
    <w:uiPriority w:val="9"/>
    <w:qFormat/>
    <w:pPr>
      <w:spacing w:beforeAutospacing="1" w:afterAutospacing="1"/>
      <w:jc w:val="left"/>
      <w:outlineLvl w:val="0"/>
    </w:pPr>
    <w:rPr>
      <w:rFonts w:ascii="宋体" w:hAnsi="宋体" w:cs="Times New Roman" w:hint="eastAsia"/>
      <w:b/>
      <w:bCs/>
      <w:kern w:val="44"/>
      <w:sz w:val="48"/>
      <w:szCs w:val="48"/>
    </w:rPr>
  </w:style>
  <w:style w:type="paragraph" w:styleId="2">
    <w:name w:val="heading 2"/>
    <w:basedOn w:val="a3"/>
    <w:next w:val="a2"/>
    <w:link w:val="20"/>
    <w:uiPriority w:val="9"/>
    <w:qFormat/>
    <w:pPr>
      <w:keepNext/>
      <w:keepLines/>
      <w:spacing w:line="360" w:lineRule="auto"/>
      <w:jc w:val="left"/>
      <w:outlineLvl w:val="1"/>
    </w:pPr>
    <w:rPr>
      <w:rFonts w:ascii="Arial" w:eastAsia="楷体" w:hAnsi="Arial" w:cs="Arial"/>
      <w:b/>
      <w:bCs/>
      <w:sz w:val="32"/>
      <w:szCs w:val="32"/>
    </w:rPr>
  </w:style>
  <w:style w:type="paragraph" w:styleId="3">
    <w:name w:val="heading 3"/>
    <w:basedOn w:val="a2"/>
    <w:next w:val="a2"/>
    <w:link w:val="30"/>
    <w:uiPriority w:val="9"/>
    <w:unhideWhenUsed/>
    <w:qFormat/>
    <w:pPr>
      <w:keepNext/>
      <w:keepLines/>
      <w:spacing w:before="260" w:after="260" w:line="416" w:lineRule="auto"/>
      <w:outlineLvl w:val="2"/>
    </w:pPr>
    <w:rPr>
      <w:b/>
      <w:bCs/>
      <w:sz w:val="32"/>
      <w:szCs w:val="32"/>
    </w:rPr>
  </w:style>
  <w:style w:type="paragraph" w:styleId="4">
    <w:name w:val="heading 4"/>
    <w:basedOn w:val="a2"/>
    <w:next w:val="a2"/>
    <w:link w:val="40"/>
    <w:uiPriority w:val="9"/>
    <w:unhideWhenUsed/>
    <w:qFormat/>
    <w:pPr>
      <w:keepNext/>
      <w:keepLines/>
      <w:spacing w:line="560" w:lineRule="exact"/>
      <w:ind w:firstLineChars="200" w:firstLine="880"/>
      <w:outlineLvl w:val="3"/>
    </w:pPr>
    <w:rPr>
      <w:rFonts w:ascii="Times New Roman" w:eastAsia="仿宋_GB2312" w:hAnsi="Times New Roman" w:cstheme="majorBidi"/>
      <w:bCs/>
      <w:sz w:val="32"/>
      <w:szCs w:val="28"/>
    </w:rPr>
  </w:style>
  <w:style w:type="paragraph" w:styleId="5">
    <w:name w:val="heading 5"/>
    <w:basedOn w:val="a2"/>
    <w:next w:val="a2"/>
    <w:semiHidden/>
    <w:unhideWhenUsed/>
    <w:qFormat/>
    <w:pPr>
      <w:keepNext/>
      <w:keepLines/>
      <w:spacing w:before="280" w:after="290" w:line="372" w:lineRule="auto"/>
      <w:outlineLvl w:val="4"/>
    </w:pPr>
    <w:rPr>
      <w:b/>
      <w:sz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ody Text First Indent"/>
    <w:basedOn w:val="a7"/>
    <w:autoRedefine/>
    <w:qFormat/>
    <w:pPr>
      <w:ind w:firstLineChars="100" w:firstLine="420"/>
    </w:pPr>
  </w:style>
  <w:style w:type="paragraph" w:styleId="a7">
    <w:name w:val="Body Text"/>
    <w:basedOn w:val="a2"/>
    <w:link w:val="a8"/>
    <w:autoRedefine/>
    <w:uiPriority w:val="1"/>
    <w:qFormat/>
    <w:pPr>
      <w:spacing w:after="120"/>
    </w:pPr>
  </w:style>
  <w:style w:type="paragraph" w:styleId="7">
    <w:name w:val="toc 7"/>
    <w:basedOn w:val="a2"/>
    <w:next w:val="a2"/>
    <w:autoRedefine/>
    <w:uiPriority w:val="39"/>
    <w:unhideWhenUsed/>
    <w:qFormat/>
    <w:pPr>
      <w:ind w:leftChars="1200" w:left="2520"/>
    </w:pPr>
    <w:rPr>
      <w:rFonts w:asciiTheme="minorHAnsi" w:eastAsiaTheme="minorEastAsia" w:hAnsiTheme="minorHAnsi" w:cstheme="minorBidi"/>
      <w:szCs w:val="22"/>
    </w:rPr>
  </w:style>
  <w:style w:type="paragraph" w:styleId="a9">
    <w:name w:val="annotation text"/>
    <w:basedOn w:val="a2"/>
    <w:link w:val="aa"/>
    <w:autoRedefine/>
    <w:qFormat/>
    <w:pPr>
      <w:jc w:val="left"/>
    </w:pPr>
  </w:style>
  <w:style w:type="paragraph" w:styleId="41">
    <w:name w:val="index 4"/>
    <w:basedOn w:val="a2"/>
    <w:next w:val="a2"/>
    <w:autoRedefine/>
    <w:qFormat/>
    <w:pPr>
      <w:spacing w:before="100"/>
      <w:ind w:left="960" w:hanging="240"/>
      <w:jc w:val="center"/>
    </w:pPr>
    <w:rPr>
      <w:rFonts w:ascii="仿宋_GB2312" w:eastAsia="仿宋_GB2312" w:cs="Mangal"/>
      <w:color w:val="000000"/>
      <w:kern w:val="0"/>
      <w:sz w:val="28"/>
      <w:szCs w:val="28"/>
    </w:rPr>
  </w:style>
  <w:style w:type="paragraph" w:styleId="50">
    <w:name w:val="toc 5"/>
    <w:basedOn w:val="a2"/>
    <w:next w:val="a2"/>
    <w:autoRedefine/>
    <w:uiPriority w:val="39"/>
    <w:unhideWhenUsed/>
    <w:qFormat/>
    <w:pPr>
      <w:ind w:leftChars="800" w:left="1680"/>
    </w:pPr>
    <w:rPr>
      <w:rFonts w:asciiTheme="minorHAnsi" w:eastAsiaTheme="minorEastAsia" w:hAnsiTheme="minorHAnsi" w:cstheme="minorBidi"/>
      <w:szCs w:val="22"/>
    </w:rPr>
  </w:style>
  <w:style w:type="paragraph" w:styleId="31">
    <w:name w:val="toc 3"/>
    <w:basedOn w:val="a2"/>
    <w:next w:val="a2"/>
    <w:autoRedefine/>
    <w:uiPriority w:val="39"/>
    <w:unhideWhenUsed/>
    <w:qFormat/>
    <w:pPr>
      <w:spacing w:line="360" w:lineRule="auto"/>
      <w:ind w:leftChars="400" w:left="840" w:firstLineChars="200" w:firstLine="200"/>
    </w:pPr>
    <w:rPr>
      <w:rFonts w:asciiTheme="minorHAnsi" w:eastAsia="仿宋_GB2312" w:hAnsiTheme="minorHAnsi" w:cstheme="minorBidi"/>
      <w:sz w:val="28"/>
      <w:szCs w:val="22"/>
    </w:rPr>
  </w:style>
  <w:style w:type="paragraph" w:styleId="8">
    <w:name w:val="toc 8"/>
    <w:basedOn w:val="a2"/>
    <w:next w:val="a2"/>
    <w:autoRedefine/>
    <w:uiPriority w:val="39"/>
    <w:unhideWhenUsed/>
    <w:qFormat/>
    <w:pPr>
      <w:ind w:leftChars="1400" w:left="2940"/>
    </w:pPr>
    <w:rPr>
      <w:rFonts w:asciiTheme="minorHAnsi" w:eastAsiaTheme="minorEastAsia" w:hAnsiTheme="minorHAnsi" w:cstheme="minorBidi"/>
      <w:szCs w:val="22"/>
    </w:rPr>
  </w:style>
  <w:style w:type="paragraph" w:styleId="21">
    <w:name w:val="Body Text Indent 2"/>
    <w:basedOn w:val="a2"/>
    <w:autoRedefine/>
    <w:qFormat/>
    <w:pPr>
      <w:spacing w:line="480" w:lineRule="auto"/>
      <w:ind w:leftChars="200" w:left="420"/>
    </w:pPr>
    <w:rPr>
      <w:rFonts w:ascii="Times New Roman" w:hAnsi="Times New Roman" w:cs="Times New Roman"/>
    </w:rPr>
  </w:style>
  <w:style w:type="paragraph" w:styleId="ab">
    <w:name w:val="Balloon Text"/>
    <w:basedOn w:val="a2"/>
    <w:link w:val="ac"/>
    <w:autoRedefine/>
    <w:uiPriority w:val="99"/>
    <w:qFormat/>
    <w:rPr>
      <w:rFonts w:ascii="Microsoft YaHei UI" w:eastAsia="Microsoft YaHei UI"/>
      <w:sz w:val="18"/>
      <w:szCs w:val="18"/>
    </w:rPr>
  </w:style>
  <w:style w:type="paragraph" w:styleId="ad">
    <w:name w:val="footer"/>
    <w:basedOn w:val="a2"/>
    <w:link w:val="ae"/>
    <w:uiPriority w:val="99"/>
    <w:qFormat/>
    <w:pPr>
      <w:tabs>
        <w:tab w:val="center" w:pos="4153"/>
        <w:tab w:val="right" w:pos="8306"/>
      </w:tabs>
      <w:snapToGrid w:val="0"/>
      <w:jc w:val="left"/>
    </w:pPr>
    <w:rPr>
      <w:sz w:val="18"/>
      <w:szCs w:val="18"/>
    </w:rPr>
  </w:style>
  <w:style w:type="paragraph" w:styleId="af">
    <w:name w:val="header"/>
    <w:basedOn w:val="a2"/>
    <w:link w:val="af0"/>
    <w:autoRedefine/>
    <w:uiPriority w:val="99"/>
    <w:qFormat/>
    <w:pPr>
      <w:tabs>
        <w:tab w:val="center" w:pos="4153"/>
        <w:tab w:val="right" w:pos="8306"/>
      </w:tabs>
      <w:snapToGrid w:val="0"/>
      <w:jc w:val="center"/>
    </w:pPr>
    <w:rPr>
      <w:sz w:val="18"/>
      <w:szCs w:val="18"/>
    </w:rPr>
  </w:style>
  <w:style w:type="paragraph" w:styleId="11">
    <w:name w:val="toc 1"/>
    <w:basedOn w:val="a2"/>
    <w:next w:val="a2"/>
    <w:autoRedefine/>
    <w:uiPriority w:val="39"/>
    <w:unhideWhenUsed/>
    <w:qFormat/>
    <w:pPr>
      <w:spacing w:line="360" w:lineRule="auto"/>
      <w:ind w:firstLineChars="200" w:firstLine="200"/>
    </w:pPr>
    <w:rPr>
      <w:rFonts w:asciiTheme="minorHAnsi" w:eastAsia="仿宋_GB2312" w:hAnsiTheme="minorHAnsi" w:cstheme="minorBidi"/>
      <w:sz w:val="28"/>
      <w:szCs w:val="22"/>
    </w:rPr>
  </w:style>
  <w:style w:type="paragraph" w:styleId="42">
    <w:name w:val="toc 4"/>
    <w:basedOn w:val="a2"/>
    <w:next w:val="a2"/>
    <w:autoRedefine/>
    <w:uiPriority w:val="39"/>
    <w:unhideWhenUsed/>
    <w:qFormat/>
    <w:pPr>
      <w:ind w:leftChars="600" w:left="1260"/>
    </w:pPr>
    <w:rPr>
      <w:rFonts w:asciiTheme="minorHAnsi" w:eastAsiaTheme="minorEastAsia" w:hAnsiTheme="minorHAnsi" w:cstheme="minorBidi"/>
      <w:szCs w:val="22"/>
    </w:rPr>
  </w:style>
  <w:style w:type="paragraph" w:styleId="6">
    <w:name w:val="toc 6"/>
    <w:basedOn w:val="a2"/>
    <w:next w:val="a2"/>
    <w:uiPriority w:val="39"/>
    <w:unhideWhenUsed/>
    <w:qFormat/>
    <w:pPr>
      <w:ind w:leftChars="1000" w:left="2100"/>
    </w:pPr>
    <w:rPr>
      <w:rFonts w:asciiTheme="minorHAnsi" w:eastAsiaTheme="minorEastAsia" w:hAnsiTheme="minorHAnsi" w:cstheme="minorBidi"/>
      <w:szCs w:val="22"/>
    </w:rPr>
  </w:style>
  <w:style w:type="paragraph" w:styleId="22">
    <w:name w:val="toc 2"/>
    <w:basedOn w:val="a2"/>
    <w:next w:val="a2"/>
    <w:autoRedefine/>
    <w:uiPriority w:val="39"/>
    <w:unhideWhenUsed/>
    <w:qFormat/>
    <w:pPr>
      <w:spacing w:line="360" w:lineRule="auto"/>
      <w:ind w:leftChars="200" w:left="420" w:firstLineChars="200" w:firstLine="200"/>
    </w:pPr>
    <w:rPr>
      <w:rFonts w:asciiTheme="minorHAnsi" w:eastAsia="仿宋_GB2312" w:hAnsiTheme="minorHAnsi" w:cstheme="minorBidi"/>
      <w:sz w:val="28"/>
      <w:szCs w:val="22"/>
    </w:rPr>
  </w:style>
  <w:style w:type="paragraph" w:styleId="9">
    <w:name w:val="toc 9"/>
    <w:basedOn w:val="a2"/>
    <w:next w:val="a2"/>
    <w:autoRedefine/>
    <w:uiPriority w:val="39"/>
    <w:unhideWhenUsed/>
    <w:qFormat/>
    <w:pPr>
      <w:ind w:leftChars="1600" w:left="3360"/>
    </w:pPr>
    <w:rPr>
      <w:rFonts w:asciiTheme="minorHAnsi" w:eastAsiaTheme="minorEastAsia" w:hAnsiTheme="minorHAnsi" w:cstheme="minorBidi"/>
      <w:szCs w:val="22"/>
    </w:rPr>
  </w:style>
  <w:style w:type="paragraph" w:styleId="af1">
    <w:name w:val="Normal (Web)"/>
    <w:basedOn w:val="a2"/>
    <w:autoRedefine/>
    <w:uiPriority w:val="99"/>
    <w:qFormat/>
    <w:pPr>
      <w:spacing w:beforeAutospacing="1" w:afterAutospacing="1"/>
      <w:jc w:val="left"/>
    </w:pPr>
    <w:rPr>
      <w:rFonts w:cs="Times New Roman"/>
      <w:kern w:val="0"/>
      <w:sz w:val="24"/>
    </w:rPr>
  </w:style>
  <w:style w:type="paragraph" w:styleId="af2">
    <w:name w:val="annotation subject"/>
    <w:basedOn w:val="a9"/>
    <w:next w:val="a9"/>
    <w:link w:val="af3"/>
    <w:autoRedefine/>
    <w:qFormat/>
    <w:rPr>
      <w:b/>
      <w:bCs/>
    </w:rPr>
  </w:style>
  <w:style w:type="table" w:styleId="af4">
    <w:name w:val="Table Grid"/>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basedOn w:val="a4"/>
    <w:autoRedefine/>
    <w:uiPriority w:val="20"/>
    <w:qFormat/>
    <w:rPr>
      <w:i/>
      <w:iCs/>
    </w:rPr>
  </w:style>
  <w:style w:type="character" w:styleId="af6">
    <w:name w:val="Hyperlink"/>
    <w:basedOn w:val="a4"/>
    <w:autoRedefine/>
    <w:uiPriority w:val="99"/>
    <w:unhideWhenUsed/>
    <w:qFormat/>
    <w:rPr>
      <w:color w:val="0000FF" w:themeColor="hyperlink"/>
      <w:u w:val="single"/>
    </w:rPr>
  </w:style>
  <w:style w:type="character" w:styleId="af7">
    <w:name w:val="annotation reference"/>
    <w:basedOn w:val="a4"/>
    <w:qFormat/>
    <w:rPr>
      <w:sz w:val="21"/>
      <w:szCs w:val="21"/>
    </w:rPr>
  </w:style>
  <w:style w:type="paragraph" w:customStyle="1" w:styleId="p0">
    <w:name w:val="p0"/>
    <w:basedOn w:val="a2"/>
    <w:autoRedefine/>
    <w:qFormat/>
    <w:pPr>
      <w:widowControl/>
      <w:spacing w:before="100" w:beforeAutospacing="1" w:after="100" w:afterAutospacing="1"/>
      <w:jc w:val="left"/>
    </w:pPr>
    <w:rPr>
      <w:rFonts w:ascii="宋体" w:hAnsi="宋体"/>
      <w:kern w:val="0"/>
      <w:sz w:val="24"/>
    </w:rPr>
  </w:style>
  <w:style w:type="character" w:customStyle="1" w:styleId="af0">
    <w:name w:val="页眉 字符"/>
    <w:basedOn w:val="a4"/>
    <w:link w:val="af"/>
    <w:autoRedefine/>
    <w:uiPriority w:val="99"/>
    <w:qFormat/>
    <w:rPr>
      <w:rFonts w:ascii="Calibri" w:eastAsia="宋体" w:hAnsi="Calibri" w:cs="宋体"/>
      <w:kern w:val="2"/>
      <w:sz w:val="18"/>
      <w:szCs w:val="18"/>
    </w:rPr>
  </w:style>
  <w:style w:type="character" w:customStyle="1" w:styleId="ae">
    <w:name w:val="页脚 字符"/>
    <w:basedOn w:val="a4"/>
    <w:link w:val="ad"/>
    <w:uiPriority w:val="99"/>
    <w:qFormat/>
    <w:rPr>
      <w:rFonts w:ascii="Calibri" w:eastAsia="宋体" w:hAnsi="Calibri" w:cs="宋体"/>
      <w:kern w:val="2"/>
      <w:sz w:val="18"/>
      <w:szCs w:val="18"/>
    </w:rPr>
  </w:style>
  <w:style w:type="paragraph" w:customStyle="1" w:styleId="12">
    <w:name w:val="修订1"/>
    <w:autoRedefine/>
    <w:uiPriority w:val="99"/>
    <w:qFormat/>
    <w:rPr>
      <w:rFonts w:ascii="Calibri" w:hAnsi="Calibri" w:cs="宋体"/>
      <w:kern w:val="2"/>
      <w:sz w:val="21"/>
      <w:szCs w:val="24"/>
    </w:rPr>
  </w:style>
  <w:style w:type="character" w:customStyle="1" w:styleId="aa">
    <w:name w:val="批注文字 字符"/>
    <w:basedOn w:val="a4"/>
    <w:link w:val="a9"/>
    <w:autoRedefine/>
    <w:qFormat/>
    <w:rPr>
      <w:rFonts w:ascii="Calibri" w:eastAsia="宋体" w:hAnsi="Calibri" w:cs="宋体"/>
      <w:kern w:val="2"/>
      <w:sz w:val="21"/>
      <w:szCs w:val="24"/>
    </w:rPr>
  </w:style>
  <w:style w:type="character" w:customStyle="1" w:styleId="af3">
    <w:name w:val="批注主题 字符"/>
    <w:basedOn w:val="aa"/>
    <w:link w:val="af2"/>
    <w:autoRedefine/>
    <w:qFormat/>
    <w:rPr>
      <w:rFonts w:ascii="Calibri" w:eastAsia="宋体" w:hAnsi="Calibri" w:cs="宋体"/>
      <w:b/>
      <w:bCs/>
      <w:kern w:val="2"/>
      <w:sz w:val="21"/>
      <w:szCs w:val="24"/>
    </w:rPr>
  </w:style>
  <w:style w:type="paragraph" w:customStyle="1" w:styleId="13">
    <w:name w:val="列出段落1"/>
    <w:basedOn w:val="a2"/>
    <w:autoRedefine/>
    <w:uiPriority w:val="99"/>
    <w:qFormat/>
    <w:pPr>
      <w:snapToGrid w:val="0"/>
      <w:spacing w:after="15" w:line="600" w:lineRule="exact"/>
      <w:ind w:firstLineChars="200" w:firstLine="420"/>
    </w:pPr>
    <w:rPr>
      <w:szCs w:val="22"/>
    </w:rPr>
  </w:style>
  <w:style w:type="paragraph" w:customStyle="1" w:styleId="23">
    <w:name w:val="列出段落2"/>
    <w:basedOn w:val="a2"/>
    <w:autoRedefine/>
    <w:uiPriority w:val="34"/>
    <w:qFormat/>
    <w:pPr>
      <w:ind w:firstLine="420"/>
    </w:pPr>
  </w:style>
  <w:style w:type="character" w:customStyle="1" w:styleId="ac">
    <w:name w:val="批注框文本 字符"/>
    <w:basedOn w:val="a4"/>
    <w:link w:val="ab"/>
    <w:autoRedefine/>
    <w:uiPriority w:val="99"/>
    <w:qFormat/>
    <w:rPr>
      <w:rFonts w:ascii="Microsoft YaHei UI" w:eastAsia="Microsoft YaHei UI" w:hAnsi="Calibri" w:cs="宋体"/>
      <w:kern w:val="2"/>
      <w:sz w:val="18"/>
      <w:szCs w:val="18"/>
    </w:rPr>
  </w:style>
  <w:style w:type="paragraph" w:customStyle="1" w:styleId="24">
    <w:name w:val="修订2"/>
    <w:autoRedefine/>
    <w:hidden/>
    <w:uiPriority w:val="99"/>
    <w:semiHidden/>
    <w:qFormat/>
    <w:rPr>
      <w:rFonts w:ascii="Calibri" w:hAnsi="Calibri" w:cs="宋体"/>
      <w:kern w:val="2"/>
      <w:sz w:val="21"/>
      <w:szCs w:val="24"/>
    </w:rPr>
  </w:style>
  <w:style w:type="paragraph" w:styleId="a">
    <w:name w:val="List Paragraph"/>
    <w:basedOn w:val="a2"/>
    <w:autoRedefine/>
    <w:uiPriority w:val="34"/>
    <w:qFormat/>
    <w:rsid w:val="00DF25B1"/>
    <w:pPr>
      <w:numPr>
        <w:numId w:val="13"/>
      </w:numPr>
      <w:adjustRightInd w:val="0"/>
      <w:snapToGrid w:val="0"/>
      <w:spacing w:line="360" w:lineRule="auto"/>
    </w:pPr>
    <w:rPr>
      <w:rFonts w:ascii="仿宋" w:eastAsia="仿宋" w:hAnsi="仿宋" w:cs="Arial"/>
      <w:color w:val="000000"/>
      <w:spacing w:val="-1"/>
      <w:sz w:val="32"/>
      <w:szCs w:val="28"/>
    </w:rPr>
  </w:style>
  <w:style w:type="character" w:customStyle="1" w:styleId="20">
    <w:name w:val="标题 2 字符"/>
    <w:basedOn w:val="a4"/>
    <w:link w:val="2"/>
    <w:autoRedefine/>
    <w:uiPriority w:val="9"/>
    <w:qFormat/>
    <w:rPr>
      <w:rFonts w:ascii="Arial" w:eastAsia="楷体" w:hAnsi="Arial" w:cs="Arial"/>
      <w:b/>
      <w:bCs/>
      <w:kern w:val="2"/>
      <w:sz w:val="32"/>
      <w:szCs w:val="32"/>
    </w:rPr>
  </w:style>
  <w:style w:type="paragraph" w:customStyle="1" w:styleId="aa0">
    <w:name w:val="aa正文"/>
    <w:basedOn w:val="a2"/>
    <w:autoRedefine/>
    <w:qFormat/>
    <w:pPr>
      <w:snapToGrid w:val="0"/>
      <w:spacing w:after="15" w:line="440" w:lineRule="exact"/>
      <w:ind w:firstLineChars="200" w:firstLine="480"/>
    </w:pPr>
    <w:rPr>
      <w:rFonts w:ascii="Times New Roman" w:hAnsi="Times New Roman" w:cs="Times New Roman"/>
      <w:sz w:val="24"/>
      <w:szCs w:val="22"/>
    </w:rPr>
  </w:style>
  <w:style w:type="character" w:customStyle="1" w:styleId="fontstyle01">
    <w:name w:val="fontstyle01"/>
    <w:basedOn w:val="a4"/>
    <w:autoRedefine/>
    <w:qFormat/>
    <w:rPr>
      <w:rFonts w:ascii="宋体" w:eastAsia="宋体" w:hAnsi="宋体" w:hint="eastAsia"/>
      <w:color w:val="000000"/>
      <w:sz w:val="24"/>
      <w:szCs w:val="24"/>
    </w:rPr>
  </w:style>
  <w:style w:type="paragraph" w:customStyle="1" w:styleId="aa1">
    <w:name w:val="aa单行标题"/>
    <w:basedOn w:val="13"/>
    <w:autoRedefine/>
    <w:qFormat/>
    <w:pPr>
      <w:spacing w:line="360" w:lineRule="auto"/>
      <w:ind w:firstLineChars="0" w:firstLine="640"/>
      <w:jc w:val="center"/>
    </w:pPr>
    <w:rPr>
      <w:rFonts w:ascii="Times New Roman" w:hAnsi="Times New Roman" w:cs="Times New Roman"/>
      <w:sz w:val="32"/>
      <w:szCs w:val="32"/>
    </w:rPr>
  </w:style>
  <w:style w:type="character" w:customStyle="1" w:styleId="30">
    <w:name w:val="标题 3 字符"/>
    <w:basedOn w:val="a4"/>
    <w:link w:val="3"/>
    <w:autoRedefine/>
    <w:uiPriority w:val="9"/>
    <w:qFormat/>
    <w:rPr>
      <w:rFonts w:ascii="Calibri" w:hAnsi="Calibri" w:cs="宋体"/>
      <w:b/>
      <w:bCs/>
      <w:kern w:val="2"/>
      <w:sz w:val="32"/>
      <w:szCs w:val="32"/>
    </w:rPr>
  </w:style>
  <w:style w:type="character" w:customStyle="1" w:styleId="40">
    <w:name w:val="标题 4 字符"/>
    <w:basedOn w:val="a4"/>
    <w:link w:val="4"/>
    <w:autoRedefine/>
    <w:uiPriority w:val="9"/>
    <w:qFormat/>
    <w:rPr>
      <w:rFonts w:ascii="Times New Roman" w:eastAsia="仿宋_GB2312" w:hAnsi="Times New Roman" w:cstheme="majorBidi"/>
      <w:bCs/>
      <w:kern w:val="2"/>
      <w:sz w:val="32"/>
      <w:szCs w:val="28"/>
    </w:rPr>
  </w:style>
  <w:style w:type="character" w:customStyle="1" w:styleId="10">
    <w:name w:val="标题 1 字符"/>
    <w:basedOn w:val="a4"/>
    <w:link w:val="1"/>
    <w:autoRedefine/>
    <w:uiPriority w:val="9"/>
    <w:qFormat/>
    <w:rPr>
      <w:rFonts w:ascii="宋体" w:hAnsi="宋体"/>
      <w:b/>
      <w:bCs/>
      <w:kern w:val="44"/>
      <w:sz w:val="48"/>
      <w:szCs w:val="48"/>
    </w:rPr>
  </w:style>
  <w:style w:type="character" w:customStyle="1" w:styleId="a8">
    <w:name w:val="正文文本 字符"/>
    <w:basedOn w:val="a4"/>
    <w:link w:val="a7"/>
    <w:autoRedefine/>
    <w:uiPriority w:val="1"/>
    <w:qFormat/>
    <w:rPr>
      <w:rFonts w:ascii="Calibri" w:hAnsi="Calibri" w:cs="宋体"/>
      <w:kern w:val="2"/>
      <w:sz w:val="21"/>
      <w:szCs w:val="24"/>
    </w:rPr>
  </w:style>
  <w:style w:type="paragraph" w:customStyle="1" w:styleId="25">
    <w:name w:val="列表段落2"/>
    <w:basedOn w:val="a2"/>
    <w:qFormat/>
    <w:pPr>
      <w:spacing w:line="360" w:lineRule="auto"/>
      <w:ind w:firstLineChars="200" w:firstLine="420"/>
      <w:jc w:val="left"/>
    </w:pPr>
    <w:rPr>
      <w:rFonts w:cs="Times New Roman"/>
      <w:sz w:val="24"/>
    </w:rPr>
  </w:style>
  <w:style w:type="paragraph" w:customStyle="1" w:styleId="32">
    <w:name w:val="修订3"/>
    <w:autoRedefine/>
    <w:hidden/>
    <w:uiPriority w:val="99"/>
    <w:unhideWhenUsed/>
    <w:qFormat/>
    <w:rPr>
      <w:rFonts w:asciiTheme="minorHAnsi" w:eastAsiaTheme="minorEastAsia" w:hAnsiTheme="minorHAnsi" w:cstheme="minorBidi"/>
      <w:kern w:val="2"/>
      <w:sz w:val="21"/>
      <w:szCs w:val="22"/>
    </w:rPr>
  </w:style>
  <w:style w:type="character" w:customStyle="1" w:styleId="14">
    <w:name w:val="页眉 字符1"/>
    <w:basedOn w:val="a4"/>
    <w:autoRedefine/>
    <w:uiPriority w:val="99"/>
    <w:qFormat/>
    <w:rPr>
      <w:sz w:val="18"/>
      <w:szCs w:val="18"/>
    </w:rPr>
  </w:style>
  <w:style w:type="character" w:customStyle="1" w:styleId="15">
    <w:name w:val="页脚 字符1"/>
    <w:basedOn w:val="a4"/>
    <w:autoRedefine/>
    <w:uiPriority w:val="99"/>
    <w:qFormat/>
    <w:rPr>
      <w:sz w:val="18"/>
      <w:szCs w:val="18"/>
    </w:rPr>
  </w:style>
  <w:style w:type="character" w:customStyle="1" w:styleId="16">
    <w:name w:val="正文文本 字符1"/>
    <w:basedOn w:val="a4"/>
    <w:autoRedefine/>
    <w:uiPriority w:val="1"/>
    <w:qFormat/>
    <w:rPr>
      <w:rFonts w:ascii="宋体" w:eastAsia="宋体" w:hAnsi="宋体" w:cs="宋体"/>
      <w:kern w:val="0"/>
      <w:sz w:val="22"/>
      <w:lang w:val="zh-CN" w:bidi="zh-CN"/>
    </w:rPr>
  </w:style>
  <w:style w:type="character" w:customStyle="1" w:styleId="17">
    <w:name w:val="批注框文本 字符1"/>
    <w:basedOn w:val="a4"/>
    <w:autoRedefine/>
    <w:uiPriority w:val="99"/>
    <w:semiHidden/>
    <w:qFormat/>
    <w:rPr>
      <w:rFonts w:asciiTheme="minorHAnsi" w:eastAsiaTheme="minorEastAsia" w:hAnsiTheme="minorHAnsi" w:cstheme="minorBidi"/>
      <w:kern w:val="2"/>
      <w:sz w:val="18"/>
      <w:szCs w:val="18"/>
    </w:rPr>
  </w:style>
  <w:style w:type="character" w:customStyle="1" w:styleId="110">
    <w:name w:val="标题 1 字符1"/>
    <w:basedOn w:val="a4"/>
    <w:autoRedefine/>
    <w:uiPriority w:val="9"/>
    <w:qFormat/>
    <w:rPr>
      <w:rFonts w:asciiTheme="minorHAnsi" w:eastAsia="方正小标宋简体" w:hAnsiTheme="minorHAnsi" w:cstheme="minorBidi"/>
      <w:b/>
      <w:bCs/>
      <w:kern w:val="44"/>
      <w:sz w:val="36"/>
      <w:szCs w:val="44"/>
    </w:rPr>
  </w:style>
  <w:style w:type="character" w:customStyle="1" w:styleId="210">
    <w:name w:val="标题 2 字符1"/>
    <w:basedOn w:val="a4"/>
    <w:autoRedefine/>
    <w:uiPriority w:val="9"/>
    <w:qFormat/>
    <w:rPr>
      <w:rFonts w:asciiTheme="majorHAnsi" w:eastAsia="黑体" w:hAnsiTheme="majorHAnsi" w:cstheme="majorBidi"/>
      <w:b/>
      <w:bCs/>
      <w:kern w:val="2"/>
      <w:sz w:val="30"/>
      <w:szCs w:val="32"/>
    </w:rPr>
  </w:style>
  <w:style w:type="character" w:customStyle="1" w:styleId="310">
    <w:name w:val="标题 3 字符1"/>
    <w:basedOn w:val="a4"/>
    <w:autoRedefine/>
    <w:uiPriority w:val="9"/>
    <w:qFormat/>
    <w:rPr>
      <w:rFonts w:asciiTheme="minorHAnsi" w:eastAsia="仿宋_GB2312" w:hAnsiTheme="minorHAnsi" w:cstheme="minorBidi"/>
      <w:b/>
      <w:bCs/>
      <w:kern w:val="2"/>
      <w:sz w:val="28"/>
      <w:szCs w:val="32"/>
    </w:rPr>
  </w:style>
  <w:style w:type="paragraph" w:customStyle="1" w:styleId="TOC1">
    <w:name w:val="TOC 标题1"/>
    <w:basedOn w:val="1"/>
    <w:next w:val="a2"/>
    <w:autoRedefine/>
    <w:uiPriority w:val="39"/>
    <w:unhideWhenUsed/>
    <w:qFormat/>
    <w:pPr>
      <w:keepNext/>
      <w:keepLines/>
      <w:widowControl/>
      <w:spacing w:before="240" w:beforeAutospacing="0" w:afterAutospacing="0" w:line="259" w:lineRule="auto"/>
      <w:outlineLvl w:val="9"/>
    </w:pPr>
    <w:rPr>
      <w:rFonts w:asciiTheme="majorHAnsi" w:eastAsiaTheme="majorEastAsia" w:hAnsiTheme="majorHAnsi" w:cstheme="majorBidi" w:hint="default"/>
      <w:b w:val="0"/>
      <w:bCs w:val="0"/>
      <w:color w:val="365F91" w:themeColor="accent1" w:themeShade="BF"/>
      <w:kern w:val="0"/>
      <w:sz w:val="32"/>
      <w:szCs w:val="32"/>
    </w:rPr>
  </w:style>
  <w:style w:type="character" w:customStyle="1" w:styleId="410">
    <w:name w:val="标题 4 字符1"/>
    <w:basedOn w:val="a4"/>
    <w:autoRedefine/>
    <w:uiPriority w:val="9"/>
    <w:qFormat/>
    <w:rPr>
      <w:rFonts w:asciiTheme="majorHAnsi" w:eastAsia="仿宋_GB2312" w:hAnsiTheme="majorHAnsi" w:cstheme="majorBidi"/>
      <w:b/>
      <w:bCs/>
      <w:kern w:val="2"/>
      <w:sz w:val="28"/>
      <w:szCs w:val="28"/>
    </w:rPr>
  </w:style>
  <w:style w:type="paragraph" w:customStyle="1" w:styleId="af8">
    <w:name w:val="中文正文"/>
    <w:basedOn w:val="a2"/>
    <w:autoRedefine/>
    <w:qFormat/>
    <w:pPr>
      <w:spacing w:line="288" w:lineRule="auto"/>
      <w:ind w:firstLineChars="200" w:firstLine="200"/>
    </w:pPr>
    <w:rPr>
      <w:rFonts w:ascii="Times New Roman" w:hAnsi="Times New Roman" w:cs="Times New Roman"/>
      <w:sz w:val="24"/>
    </w:rPr>
  </w:style>
  <w:style w:type="character" w:customStyle="1" w:styleId="26">
    <w:name w:val="页眉 字符2"/>
    <w:basedOn w:val="a4"/>
    <w:autoRedefine/>
    <w:uiPriority w:val="99"/>
    <w:qFormat/>
    <w:rPr>
      <w:sz w:val="18"/>
      <w:szCs w:val="18"/>
    </w:rPr>
  </w:style>
  <w:style w:type="character" w:customStyle="1" w:styleId="27">
    <w:name w:val="页脚 字符2"/>
    <w:basedOn w:val="a4"/>
    <w:autoRedefine/>
    <w:uiPriority w:val="99"/>
    <w:qFormat/>
    <w:rPr>
      <w:sz w:val="18"/>
      <w:szCs w:val="18"/>
    </w:rPr>
  </w:style>
  <w:style w:type="character" w:customStyle="1" w:styleId="28">
    <w:name w:val="正文文本 字符2"/>
    <w:basedOn w:val="a4"/>
    <w:autoRedefine/>
    <w:uiPriority w:val="1"/>
    <w:qFormat/>
    <w:rPr>
      <w:rFonts w:ascii="宋体" w:eastAsia="宋体" w:hAnsi="宋体" w:cs="宋体"/>
      <w:kern w:val="0"/>
      <w:sz w:val="22"/>
      <w:lang w:val="zh-CN" w:bidi="zh-CN"/>
    </w:rPr>
  </w:style>
  <w:style w:type="paragraph" w:customStyle="1" w:styleId="211">
    <w:name w:val="列表段落21"/>
    <w:basedOn w:val="a2"/>
    <w:autoRedefine/>
    <w:qFormat/>
    <w:pPr>
      <w:spacing w:line="360" w:lineRule="auto"/>
      <w:ind w:firstLineChars="200" w:firstLine="420"/>
      <w:jc w:val="left"/>
    </w:pPr>
    <w:rPr>
      <w:rFonts w:cs="Times New Roman"/>
      <w:sz w:val="24"/>
    </w:rPr>
  </w:style>
  <w:style w:type="character" w:customStyle="1" w:styleId="29">
    <w:name w:val="批注框文本 字符2"/>
    <w:basedOn w:val="a4"/>
    <w:autoRedefine/>
    <w:uiPriority w:val="99"/>
    <w:semiHidden/>
    <w:qFormat/>
    <w:rPr>
      <w:rFonts w:ascii="Microsoft YaHei UI" w:eastAsia="Microsoft YaHei UI"/>
      <w:kern w:val="2"/>
      <w:sz w:val="18"/>
      <w:szCs w:val="18"/>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111">
    <w:name w:val="列出段落11"/>
    <w:basedOn w:val="a2"/>
    <w:autoRedefine/>
    <w:uiPriority w:val="34"/>
    <w:qFormat/>
    <w:pPr>
      <w:snapToGrid w:val="0"/>
      <w:spacing w:after="15" w:line="600" w:lineRule="exact"/>
      <w:ind w:firstLineChars="200" w:firstLine="420"/>
    </w:pPr>
    <w:rPr>
      <w:szCs w:val="22"/>
    </w:rPr>
  </w:style>
  <w:style w:type="paragraph" w:customStyle="1" w:styleId="112">
    <w:name w:val="1图标标题1行"/>
    <w:basedOn w:val="af9"/>
    <w:autoRedefine/>
    <w:qFormat/>
    <w:pPr>
      <w:adjustRightInd w:val="0"/>
      <w:snapToGrid w:val="0"/>
    </w:pPr>
    <w:rPr>
      <w:rFonts w:ascii="仿宋" w:eastAsia="仿宋" w:hAnsi="仿宋" w:cs="仿宋"/>
      <w:bCs w:val="0"/>
      <w:kern w:val="0"/>
      <w:sz w:val="24"/>
    </w:rPr>
  </w:style>
  <w:style w:type="paragraph" w:customStyle="1" w:styleId="af9">
    <w:name w:val="图片标题"/>
    <w:basedOn w:val="a2"/>
    <w:autoRedefine/>
    <w:qFormat/>
    <w:pPr>
      <w:jc w:val="center"/>
    </w:pPr>
    <w:rPr>
      <w:rFonts w:eastAsia="黑体"/>
      <w:bCs/>
    </w:rPr>
  </w:style>
  <w:style w:type="paragraph" w:customStyle="1" w:styleId="18">
    <w:name w:val="列表段落1"/>
    <w:basedOn w:val="a2"/>
    <w:autoRedefine/>
    <w:uiPriority w:val="99"/>
    <w:unhideWhenUsed/>
    <w:qFormat/>
    <w:pPr>
      <w:ind w:firstLineChars="200" w:firstLine="420"/>
    </w:pPr>
  </w:style>
  <w:style w:type="paragraph" w:customStyle="1" w:styleId="43">
    <w:name w:val="修订4"/>
    <w:hidden/>
    <w:uiPriority w:val="99"/>
    <w:unhideWhenUsed/>
    <w:qFormat/>
    <w:rPr>
      <w:rFonts w:ascii="Calibri" w:hAnsi="Calibri" w:cs="宋体"/>
      <w:kern w:val="2"/>
      <w:sz w:val="21"/>
      <w:szCs w:val="24"/>
    </w:rPr>
  </w:style>
  <w:style w:type="paragraph" w:customStyle="1" w:styleId="afa">
    <w:name w:val="表"/>
    <w:basedOn w:val="a7"/>
    <w:next w:val="a7"/>
    <w:qFormat/>
  </w:style>
  <w:style w:type="paragraph" w:customStyle="1" w:styleId="51">
    <w:name w:val="修订5"/>
    <w:hidden/>
    <w:uiPriority w:val="99"/>
    <w:unhideWhenUsed/>
    <w:qFormat/>
    <w:rPr>
      <w:rFonts w:ascii="Calibri" w:hAnsi="Calibri" w:cs="宋体"/>
      <w:kern w:val="2"/>
      <w:sz w:val="21"/>
      <w:szCs w:val="24"/>
    </w:rPr>
  </w:style>
  <w:style w:type="paragraph" w:customStyle="1" w:styleId="60">
    <w:name w:val="修订6"/>
    <w:hidden/>
    <w:uiPriority w:val="99"/>
    <w:unhideWhenUsed/>
    <w:qFormat/>
    <w:rPr>
      <w:rFonts w:ascii="Calibri" w:hAnsi="Calibri" w:cs="宋体"/>
      <w:kern w:val="2"/>
      <w:sz w:val="21"/>
      <w:szCs w:val="24"/>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afb">
    <w:name w:val="标准文件_字母编号列项（一级）"/>
    <w:qFormat/>
    <w:pPr>
      <w:tabs>
        <w:tab w:val="left" w:pos="851"/>
      </w:tabs>
      <w:jc w:val="both"/>
    </w:pPr>
    <w:rPr>
      <w:rFonts w:ascii="宋体"/>
      <w:sz w:val="21"/>
    </w:rPr>
  </w:style>
  <w:style w:type="paragraph" w:customStyle="1" w:styleId="a1">
    <w:name w:val="标准文件_三级条标题"/>
    <w:basedOn w:val="a0"/>
    <w:next w:val="afc"/>
    <w:qFormat/>
    <w:pPr>
      <w:widowControl/>
      <w:numPr>
        <w:ilvl w:val="4"/>
      </w:numPr>
      <w:outlineLvl w:val="3"/>
    </w:pPr>
  </w:style>
  <w:style w:type="paragraph" w:customStyle="1" w:styleId="a0">
    <w:name w:val="标准文件_二级条标题"/>
    <w:next w:val="afc"/>
    <w:qFormat/>
    <w:pPr>
      <w:widowControl w:val="0"/>
      <w:numPr>
        <w:ilvl w:val="3"/>
        <w:numId w:val="2"/>
      </w:numPr>
      <w:spacing w:beforeLines="50" w:before="50" w:afterLines="50" w:after="50"/>
      <w:jc w:val="both"/>
      <w:outlineLvl w:val="2"/>
    </w:pPr>
    <w:rPr>
      <w:rFonts w:ascii="黑体" w:eastAsia="黑体"/>
      <w:sz w:val="21"/>
    </w:rPr>
  </w:style>
  <w:style w:type="paragraph" w:customStyle="1" w:styleId="afc">
    <w:name w:val="标准文件_段"/>
    <w:qFormat/>
    <w:pPr>
      <w:autoSpaceDE w:val="0"/>
      <w:autoSpaceDN w:val="0"/>
      <w:ind w:firstLineChars="200" w:firstLine="200"/>
      <w:jc w:val="both"/>
    </w:pPr>
    <w:rPr>
      <w:rFonts w:ascii="宋体"/>
      <w:sz w:val="21"/>
    </w:rPr>
  </w:style>
  <w:style w:type="paragraph" w:customStyle="1" w:styleId="70">
    <w:name w:val="修订7"/>
    <w:hidden/>
    <w:uiPriority w:val="99"/>
    <w:unhideWhenUsed/>
    <w:qFormat/>
    <w:rPr>
      <w:rFonts w:ascii="Calibri" w:hAnsi="Calibri" w:cs="宋体"/>
      <w:kern w:val="2"/>
      <w:sz w:val="21"/>
      <w:szCs w:val="24"/>
    </w:rPr>
  </w:style>
  <w:style w:type="character" w:customStyle="1" w:styleId="font31">
    <w:name w:val="font31"/>
    <w:basedOn w:val="a4"/>
    <w:qFormat/>
    <w:rPr>
      <w:rFonts w:ascii="宋体" w:eastAsia="宋体" w:hAnsi="宋体" w:cs="宋体" w:hint="eastAsia"/>
      <w:color w:val="FF0000"/>
      <w:sz w:val="24"/>
      <w:szCs w:val="24"/>
      <w:u w:val="none"/>
    </w:rPr>
  </w:style>
  <w:style w:type="character" w:customStyle="1" w:styleId="font21">
    <w:name w:val="font21"/>
    <w:basedOn w:val="a4"/>
    <w:qFormat/>
    <w:rPr>
      <w:rFonts w:ascii="宋体" w:eastAsia="宋体" w:hAnsi="宋体" w:cs="宋体" w:hint="eastAsia"/>
      <w:color w:val="000000"/>
      <w:sz w:val="24"/>
      <w:szCs w:val="24"/>
      <w:u w:val="none"/>
    </w:rPr>
  </w:style>
  <w:style w:type="paragraph" w:customStyle="1" w:styleId="80">
    <w:name w:val="修订8"/>
    <w:hidden/>
    <w:uiPriority w:val="99"/>
    <w:unhideWhenUsed/>
    <w:qFormat/>
    <w:rPr>
      <w:rFonts w:ascii="Calibri" w:hAnsi="Calibri" w:cs="宋体"/>
      <w:kern w:val="2"/>
      <w:sz w:val="21"/>
      <w:szCs w:val="24"/>
    </w:rPr>
  </w:style>
  <w:style w:type="paragraph" w:customStyle="1" w:styleId="90">
    <w:name w:val="修订9"/>
    <w:hidden/>
    <w:uiPriority w:val="99"/>
    <w:unhideWhenUsed/>
    <w:qFormat/>
    <w:rPr>
      <w:rFonts w:ascii="Calibri" w:hAnsi="Calibri" w:cs="宋体"/>
      <w:kern w:val="2"/>
      <w:sz w:val="21"/>
      <w:szCs w:val="24"/>
    </w:rPr>
  </w:style>
  <w:style w:type="paragraph" w:customStyle="1" w:styleId="100">
    <w:name w:val="修订10"/>
    <w:hidden/>
    <w:uiPriority w:val="99"/>
    <w:unhideWhenUsed/>
    <w:qFormat/>
    <w:rPr>
      <w:rFonts w:ascii="Calibri" w:hAnsi="Calibri" w:cs="宋体"/>
      <w:kern w:val="2"/>
      <w:sz w:val="21"/>
      <w:szCs w:val="24"/>
    </w:rPr>
  </w:style>
  <w:style w:type="paragraph" w:customStyle="1" w:styleId="ListParagraph1">
    <w:name w:val="List Paragraph1"/>
    <w:basedOn w:val="a2"/>
    <w:qFormat/>
    <w:pPr>
      <w:adjustRightInd w:val="0"/>
      <w:snapToGrid w:val="0"/>
      <w:spacing w:before="100" w:beforeAutospacing="1" w:after="100" w:afterAutospacing="1" w:line="560" w:lineRule="exact"/>
      <w:ind w:firstLine="400"/>
    </w:pPr>
    <w:rPr>
      <w:rFonts w:cs="Times New Roman"/>
      <w:szCs w:val="21"/>
    </w:rPr>
  </w:style>
  <w:style w:type="table" w:customStyle="1" w:styleId="19">
    <w:name w:val="网格型1"/>
    <w:basedOn w:val="a5"/>
    <w:uiPriority w:val="99"/>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5"/>
    <w:uiPriority w:val="99"/>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
    <w:name w:val="修订11"/>
    <w:hidden/>
    <w:uiPriority w:val="99"/>
    <w:unhideWhenUsed/>
    <w:qFormat/>
    <w:rPr>
      <w:rFonts w:ascii="Calibri" w:hAnsi="Calibri" w:cs="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952</Words>
  <Characters>5431</Characters>
  <Application>Microsoft Office Word</Application>
  <DocSecurity>0</DocSecurity>
  <Lines>45</Lines>
  <Paragraphs>12</Paragraphs>
  <ScaleCrop>false</ScaleCrop>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庞瑞卿</cp:lastModifiedBy>
  <cp:revision>59</cp:revision>
  <cp:lastPrinted>2024-09-24T08:19:00Z</cp:lastPrinted>
  <dcterms:created xsi:type="dcterms:W3CDTF">2024-10-09T06:49:00Z</dcterms:created>
  <dcterms:modified xsi:type="dcterms:W3CDTF">2024-12-27T12:17:00Z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B3696AAFEFA44D7E95EF8BD38AA99738_13</vt:lpwstr>
  </property>
</Properties>
</file>