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22514" w14:textId="77777777" w:rsidR="002F32D3" w:rsidRDefault="00753E37">
      <w:pPr>
        <w:spacing w:beforeLines="50" w:before="156" w:afterLines="100" w:after="312" w:line="360" w:lineRule="auto"/>
        <w:outlineLvl w:val="0"/>
        <w:rPr>
          <w:rFonts w:ascii="黑体" w:eastAsia="黑体" w:hAnsi="黑体"/>
          <w:sz w:val="32"/>
          <w:szCs w:val="32"/>
        </w:rPr>
      </w:pPr>
      <w:bookmarkStart w:id="0" w:name="_Toc14665"/>
      <w:bookmarkStart w:id="1" w:name="_Toc12151"/>
      <w:bookmarkStart w:id="2" w:name="_Toc9577"/>
      <w:bookmarkStart w:id="3" w:name="_Toc3608"/>
      <w:bookmarkStart w:id="4" w:name="_Toc7425"/>
      <w:bookmarkStart w:id="5" w:name="_Toc393"/>
      <w:bookmarkStart w:id="6" w:name="_Toc24698"/>
      <w:bookmarkStart w:id="7" w:name="_Toc21448"/>
      <w:bookmarkStart w:id="8" w:name="_Toc2981"/>
      <w:bookmarkStart w:id="9" w:name="_Toc23218"/>
      <w:bookmarkStart w:id="10" w:name="_Toc17144"/>
      <w:bookmarkStart w:id="11" w:name="_Toc623"/>
      <w:bookmarkStart w:id="12" w:name="_Toc20159"/>
      <w:bookmarkStart w:id="13" w:name="_Toc18170"/>
      <w:r>
        <w:rPr>
          <w:rFonts w:ascii="黑体" w:eastAsia="黑体" w:hAnsi="黑体" w:hint="eastAsia"/>
          <w:sz w:val="32"/>
          <w:szCs w:val="32"/>
        </w:rPr>
        <w:t>附录3:</w:t>
      </w:r>
      <w:bookmarkEnd w:id="0"/>
      <w:bookmarkEnd w:id="1"/>
      <w:bookmarkEnd w:id="2"/>
      <w:bookmarkEnd w:id="3"/>
      <w:bookmarkEnd w:id="4"/>
      <w:bookmarkEnd w:id="5"/>
      <w:bookmarkEnd w:id="6"/>
      <w:bookmarkEnd w:id="7"/>
      <w:bookmarkEnd w:id="8"/>
      <w:bookmarkEnd w:id="9"/>
      <w:bookmarkEnd w:id="10"/>
      <w:bookmarkEnd w:id="11"/>
      <w:bookmarkEnd w:id="12"/>
      <w:bookmarkEnd w:id="13"/>
    </w:p>
    <w:p w14:paraId="44752265" w14:textId="77777777" w:rsidR="002F32D3" w:rsidRDefault="00753E37">
      <w:pPr>
        <w:spacing w:beforeLines="50" w:before="156" w:afterLines="100" w:after="312" w:line="360" w:lineRule="auto"/>
        <w:jc w:val="center"/>
        <w:outlineLvl w:val="1"/>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控制系统检查要点</w:t>
      </w:r>
    </w:p>
    <w:p w14:paraId="2D2CD7AD" w14:textId="77777777" w:rsidR="002F32D3" w:rsidRDefault="00753E37">
      <w:pPr>
        <w:pStyle w:val="a"/>
        <w:numPr>
          <w:ilvl w:val="0"/>
          <w:numId w:val="0"/>
        </w:numPr>
        <w:spacing w:line="360" w:lineRule="auto"/>
        <w:jc w:val="center"/>
        <w:outlineLvl w:val="0"/>
        <w:rPr>
          <w:rFonts w:ascii="黑体" w:eastAsia="黑体" w:hAnsi="黑体"/>
          <w:sz w:val="36"/>
          <w:szCs w:val="36"/>
        </w:rPr>
      </w:pPr>
      <w:bookmarkStart w:id="14" w:name="_Toc21460"/>
      <w:bookmarkStart w:id="15" w:name="_Toc19511"/>
      <w:bookmarkStart w:id="16" w:name="_Toc4798"/>
      <w:bookmarkStart w:id="17" w:name="_Toc31577"/>
      <w:bookmarkStart w:id="18" w:name="_Toc19266"/>
      <w:bookmarkStart w:id="19" w:name="_Toc8020"/>
      <w:bookmarkStart w:id="20" w:name="_Toc693"/>
      <w:bookmarkStart w:id="21" w:name="_Toc25505"/>
      <w:bookmarkStart w:id="22" w:name="_Toc2373"/>
      <w:bookmarkStart w:id="23" w:name="_Toc2091"/>
      <w:bookmarkStart w:id="24" w:name="_Toc13074"/>
      <w:bookmarkStart w:id="25" w:name="_Toc32084"/>
      <w:bookmarkStart w:id="26" w:name="_Toc28800"/>
      <w:bookmarkStart w:id="27" w:name="_Toc6406"/>
      <w:r>
        <w:rPr>
          <w:rFonts w:ascii="黑体" w:eastAsia="黑体" w:hAnsi="黑体" w:hint="eastAsia"/>
          <w:sz w:val="36"/>
          <w:szCs w:val="36"/>
        </w:rPr>
        <w:t>第三章 治疗控制系统</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2C5AD181" w14:textId="3DCF3A89" w:rsidR="002F32D3" w:rsidRPr="007A480B" w:rsidRDefault="007A480B" w:rsidP="007A480B">
      <w:pPr>
        <w:pStyle w:val="40"/>
        <w:spacing w:before="0" w:line="360" w:lineRule="auto"/>
        <w:ind w:left="958" w:hanging="238"/>
        <w:rPr>
          <w:sz w:val="36"/>
          <w:szCs w:val="36"/>
        </w:rPr>
      </w:pPr>
      <w:r w:rsidRPr="007A480B">
        <w:rPr>
          <w:rFonts w:hint="eastAsia"/>
          <w:sz w:val="36"/>
          <w:szCs w:val="36"/>
        </w:rPr>
        <w:t>（征求</w:t>
      </w:r>
      <w:r w:rsidRPr="007A480B">
        <w:rPr>
          <w:sz w:val="36"/>
          <w:szCs w:val="36"/>
        </w:rPr>
        <w:t>意见稿</w:t>
      </w:r>
      <w:r w:rsidRPr="007A480B">
        <w:rPr>
          <w:rFonts w:hint="eastAsia"/>
          <w:sz w:val="36"/>
          <w:szCs w:val="36"/>
        </w:rPr>
        <w:t>）</w:t>
      </w:r>
    </w:p>
    <w:p w14:paraId="33240A8B" w14:textId="77777777" w:rsidR="002F32D3" w:rsidRDefault="00753E37">
      <w:pPr>
        <w:spacing w:line="360" w:lineRule="auto"/>
        <w:outlineLvl w:val="1"/>
        <w:rPr>
          <w:rFonts w:ascii="黑体" w:eastAsia="黑体" w:hAnsi="黑体" w:cs="黑体"/>
          <w:sz w:val="32"/>
          <w:szCs w:val="32"/>
        </w:rPr>
      </w:pPr>
      <w:bookmarkStart w:id="28" w:name="_Toc6395"/>
      <w:bookmarkStart w:id="29" w:name="_Toc23719"/>
      <w:bookmarkStart w:id="30" w:name="_Toc24355"/>
      <w:bookmarkStart w:id="31" w:name="_Toc22314"/>
      <w:bookmarkStart w:id="32" w:name="_Toc32741"/>
      <w:bookmarkStart w:id="33" w:name="_Toc3732"/>
      <w:bookmarkStart w:id="34" w:name="_Toc23466"/>
      <w:bookmarkStart w:id="35" w:name="_Toc1285"/>
      <w:bookmarkStart w:id="36" w:name="_Toc4484"/>
      <w:bookmarkStart w:id="37" w:name="_Toc5602"/>
      <w:bookmarkStart w:id="38" w:name="_Toc7221"/>
      <w:bookmarkStart w:id="39" w:name="_Toc17666"/>
      <w:bookmarkStart w:id="40" w:name="_Toc26226"/>
      <w:bookmarkStart w:id="41" w:name="_Toc5123"/>
      <w:r>
        <w:rPr>
          <w:rFonts w:ascii="黑体" w:eastAsia="黑体" w:hAnsi="黑体" w:cs="黑体" w:hint="eastAsia"/>
          <w:sz w:val="32"/>
          <w:szCs w:val="32"/>
        </w:rPr>
        <w:t>一、产品介绍</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08B557AF" w14:textId="77777777" w:rsidR="002F32D3" w:rsidRDefault="00753E37">
      <w:pPr>
        <w:spacing w:line="360" w:lineRule="auto"/>
        <w:ind w:firstLineChars="200" w:firstLine="640"/>
        <w:outlineLvl w:val="2"/>
        <w:rPr>
          <w:rFonts w:ascii="楷体" w:eastAsia="楷体" w:hAnsi="楷体" w:cs="楷体"/>
          <w:sz w:val="32"/>
          <w:szCs w:val="32"/>
        </w:rPr>
      </w:pPr>
      <w:bookmarkStart w:id="42" w:name="_Toc30911"/>
      <w:bookmarkStart w:id="43" w:name="_Toc31355"/>
      <w:bookmarkStart w:id="44" w:name="_Toc21222"/>
      <w:bookmarkStart w:id="45" w:name="_Toc7683"/>
      <w:bookmarkStart w:id="46" w:name="_Toc10815"/>
      <w:bookmarkStart w:id="47" w:name="_Toc19088"/>
      <w:bookmarkStart w:id="48" w:name="_Toc3824"/>
      <w:bookmarkStart w:id="49" w:name="_Toc6676"/>
      <w:bookmarkStart w:id="50" w:name="_Toc1080"/>
      <w:bookmarkStart w:id="51" w:name="_Toc13530"/>
      <w:bookmarkStart w:id="52" w:name="_Toc15975"/>
      <w:bookmarkStart w:id="53" w:name="_Toc8950"/>
      <w:bookmarkStart w:id="54" w:name="_Toc22293"/>
      <w:bookmarkStart w:id="55" w:name="_Toc24568"/>
      <w:r>
        <w:rPr>
          <w:rFonts w:ascii="楷体" w:eastAsia="楷体" w:hAnsi="楷体" w:cs="楷体" w:hint="eastAsia"/>
          <w:sz w:val="32"/>
          <w:szCs w:val="32"/>
        </w:rPr>
        <w:t>（一）预期用途</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FF1783E" w14:textId="77777777" w:rsidR="002F32D3" w:rsidRDefault="00753E37">
      <w:pPr>
        <w:spacing w:line="360" w:lineRule="auto"/>
        <w:ind w:firstLineChars="200" w:firstLine="640"/>
        <w:rPr>
          <w:rFonts w:ascii="仿宋" w:eastAsia="仿宋" w:hAnsi="仿宋" w:cs="仿宋"/>
          <w:color w:val="000000"/>
          <w:sz w:val="32"/>
          <w:szCs w:val="28"/>
        </w:rPr>
      </w:pPr>
      <w:r>
        <w:rPr>
          <w:rFonts w:ascii="仿宋" w:eastAsia="仿宋" w:hAnsi="仿宋" w:cs="仿宋" w:hint="eastAsia"/>
          <w:color w:val="000000"/>
          <w:sz w:val="32"/>
          <w:szCs w:val="28"/>
        </w:rPr>
        <w:t>治疗控制系统部署在每个治疗室配置的终端电脑中，单机独立运行，按预设配置信息访问数据接口，获取当次治疗计划，显示病人信息、治疗计划等信息，查看各治疗室实时监控、治疗设备状态，执行摆位、申请束流、照射、记录等流程，操作控制治疗床等设备，所有信息达到预设条件后，控制加速器实施患者辐照，辐照过程中展示实时治疗数据，显示设备联锁状态，记录治疗结果，辐照结束后归档治疗记录。</w:t>
      </w:r>
    </w:p>
    <w:p w14:paraId="5D9EA7AE" w14:textId="77777777" w:rsidR="002F32D3" w:rsidRDefault="00753E37">
      <w:pPr>
        <w:spacing w:line="360" w:lineRule="auto"/>
        <w:ind w:firstLineChars="200" w:firstLine="640"/>
        <w:outlineLvl w:val="2"/>
        <w:rPr>
          <w:rFonts w:ascii="楷体" w:eastAsia="楷体" w:hAnsi="楷体" w:cs="楷体"/>
          <w:sz w:val="32"/>
          <w:szCs w:val="32"/>
        </w:rPr>
      </w:pPr>
      <w:bookmarkStart w:id="56" w:name="_Toc17629"/>
      <w:bookmarkStart w:id="57" w:name="_Toc30569"/>
      <w:bookmarkStart w:id="58" w:name="_Toc15570"/>
      <w:bookmarkStart w:id="59" w:name="_Toc13310"/>
      <w:bookmarkStart w:id="60" w:name="_Toc18112"/>
      <w:bookmarkStart w:id="61" w:name="_Toc11863"/>
      <w:bookmarkStart w:id="62" w:name="_Toc16054"/>
      <w:bookmarkStart w:id="63" w:name="_Toc5998"/>
      <w:bookmarkStart w:id="64" w:name="_Toc27942"/>
      <w:bookmarkStart w:id="65" w:name="_Toc18971"/>
      <w:bookmarkStart w:id="66" w:name="_Toc29828"/>
      <w:bookmarkStart w:id="67" w:name="_Toc14783"/>
      <w:bookmarkStart w:id="68" w:name="_Toc13967"/>
      <w:bookmarkStart w:id="69" w:name="_Toc14946"/>
      <w:r>
        <w:rPr>
          <w:rFonts w:ascii="楷体" w:eastAsia="楷体" w:hAnsi="楷体" w:cs="楷体" w:hint="eastAsia"/>
          <w:sz w:val="32"/>
          <w:szCs w:val="32"/>
        </w:rPr>
        <w:t>（二）工作原理</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A93B127" w14:textId="77777777" w:rsidR="002F32D3" w:rsidRDefault="00753E37">
      <w:pPr>
        <w:spacing w:line="360" w:lineRule="auto"/>
        <w:ind w:firstLineChars="200" w:firstLine="640"/>
        <w:rPr>
          <w:rFonts w:ascii="仿宋" w:eastAsia="仿宋" w:hAnsi="仿宋" w:cs="仿宋"/>
          <w:color w:val="000000"/>
          <w:sz w:val="32"/>
          <w:szCs w:val="28"/>
        </w:rPr>
      </w:pPr>
      <w:r>
        <w:rPr>
          <w:rFonts w:ascii="仿宋" w:eastAsia="仿宋" w:hAnsi="仿宋" w:cs="仿宋" w:hint="eastAsia"/>
          <w:color w:val="000000"/>
          <w:sz w:val="32"/>
          <w:szCs w:val="28"/>
        </w:rPr>
        <w:t>治疗控制系统负责引导临床用户执行治疗工作流程，负责不同子系统之间数据交换和协同，同时将必要的数据显示给临床用户。治疗结束后，治疗控制系统通过肿瘤信息系统将照射参数记录下来。如果治疗照射中断，临床用户可以在适当的时候选择恢复执行部分治疗分次。</w:t>
      </w:r>
    </w:p>
    <w:p w14:paraId="396D4FC8" w14:textId="77777777" w:rsidR="002F32D3" w:rsidRDefault="00753E37">
      <w:pPr>
        <w:spacing w:line="360" w:lineRule="auto"/>
        <w:ind w:firstLineChars="200" w:firstLine="640"/>
        <w:rPr>
          <w:rFonts w:ascii="仿宋" w:eastAsia="仿宋" w:hAnsi="仿宋" w:cs="仿宋"/>
          <w:color w:val="000000"/>
          <w:sz w:val="32"/>
          <w:szCs w:val="28"/>
        </w:rPr>
      </w:pPr>
      <w:r>
        <w:rPr>
          <w:rFonts w:ascii="仿宋" w:eastAsia="仿宋" w:hAnsi="仿宋" w:cs="仿宋" w:hint="eastAsia"/>
          <w:color w:val="000000"/>
          <w:sz w:val="32"/>
          <w:szCs w:val="28"/>
        </w:rPr>
        <w:lastRenderedPageBreak/>
        <w:t>用户可以通过治疗控制系统实现以下功能：</w:t>
      </w:r>
    </w:p>
    <w:p w14:paraId="319A80ED" w14:textId="77777777" w:rsidR="002F32D3" w:rsidRDefault="00753E37">
      <w:pPr>
        <w:numPr>
          <w:ilvl w:val="0"/>
          <w:numId w:val="2"/>
        </w:numPr>
        <w:spacing w:line="360" w:lineRule="auto"/>
        <w:ind w:firstLineChars="200" w:firstLine="640"/>
        <w:rPr>
          <w:rFonts w:ascii="仿宋" w:eastAsia="仿宋" w:hAnsi="仿宋" w:cs="仿宋"/>
          <w:color w:val="000000"/>
          <w:sz w:val="32"/>
          <w:szCs w:val="28"/>
        </w:rPr>
      </w:pPr>
      <w:r>
        <w:rPr>
          <w:rFonts w:ascii="仿宋" w:eastAsia="仿宋" w:hAnsi="仿宋" w:cs="仿宋" w:hint="eastAsia"/>
          <w:color w:val="000000"/>
          <w:sz w:val="32"/>
          <w:szCs w:val="28"/>
        </w:rPr>
        <w:t>从肿瘤信息系统载入放射治疗计划并且浏览计划内容；</w:t>
      </w:r>
    </w:p>
    <w:p w14:paraId="0F50D2B3" w14:textId="77777777" w:rsidR="002F32D3" w:rsidRDefault="00753E37">
      <w:pPr>
        <w:numPr>
          <w:ilvl w:val="0"/>
          <w:numId w:val="2"/>
        </w:numPr>
        <w:spacing w:line="360" w:lineRule="auto"/>
        <w:ind w:firstLineChars="200" w:firstLine="640"/>
        <w:rPr>
          <w:rFonts w:ascii="仿宋" w:eastAsia="仿宋" w:hAnsi="仿宋" w:cs="仿宋"/>
          <w:color w:val="000000"/>
          <w:sz w:val="32"/>
          <w:szCs w:val="28"/>
        </w:rPr>
      </w:pPr>
      <w:r>
        <w:rPr>
          <w:rFonts w:ascii="仿宋" w:eastAsia="仿宋" w:hAnsi="仿宋" w:cs="仿宋" w:hint="eastAsia"/>
          <w:color w:val="000000"/>
          <w:sz w:val="32"/>
          <w:szCs w:val="28"/>
        </w:rPr>
        <w:t>固定和定位肿瘤患者；</w:t>
      </w:r>
    </w:p>
    <w:p w14:paraId="2AAFE543" w14:textId="77777777" w:rsidR="002F32D3" w:rsidRDefault="00753E37">
      <w:pPr>
        <w:numPr>
          <w:ilvl w:val="0"/>
          <w:numId w:val="2"/>
        </w:numPr>
        <w:spacing w:line="360" w:lineRule="auto"/>
        <w:ind w:firstLineChars="200" w:firstLine="640"/>
        <w:rPr>
          <w:rFonts w:ascii="仿宋" w:eastAsia="仿宋" w:hAnsi="仿宋" w:cs="仿宋"/>
          <w:color w:val="000000"/>
          <w:sz w:val="32"/>
          <w:szCs w:val="28"/>
        </w:rPr>
      </w:pPr>
      <w:r>
        <w:rPr>
          <w:rFonts w:ascii="仿宋" w:eastAsia="仿宋" w:hAnsi="仿宋" w:cs="仿宋" w:hint="eastAsia"/>
          <w:color w:val="000000"/>
          <w:sz w:val="32"/>
          <w:szCs w:val="28"/>
        </w:rPr>
        <w:t>放射治疗之前检查摆位参数；</w:t>
      </w:r>
    </w:p>
    <w:p w14:paraId="38FAF2B6" w14:textId="77777777" w:rsidR="002F32D3" w:rsidRDefault="00753E37">
      <w:pPr>
        <w:numPr>
          <w:ilvl w:val="0"/>
          <w:numId w:val="2"/>
        </w:numPr>
        <w:spacing w:line="360" w:lineRule="auto"/>
        <w:ind w:firstLineChars="200" w:firstLine="640"/>
        <w:rPr>
          <w:rFonts w:ascii="仿宋" w:eastAsia="仿宋" w:hAnsi="仿宋" w:cs="仿宋"/>
          <w:color w:val="000000"/>
          <w:sz w:val="32"/>
          <w:szCs w:val="28"/>
        </w:rPr>
      </w:pPr>
      <w:r>
        <w:rPr>
          <w:rFonts w:ascii="仿宋" w:eastAsia="仿宋" w:hAnsi="仿宋" w:cs="仿宋" w:hint="eastAsia"/>
          <w:color w:val="000000"/>
          <w:sz w:val="32"/>
          <w:szCs w:val="28"/>
        </w:rPr>
        <w:t>请求加速器提供符合治疗要求的束流；</w:t>
      </w:r>
    </w:p>
    <w:p w14:paraId="0E3E12E0" w14:textId="77777777" w:rsidR="002F32D3" w:rsidRDefault="00753E37">
      <w:pPr>
        <w:numPr>
          <w:ilvl w:val="0"/>
          <w:numId w:val="2"/>
        </w:numPr>
        <w:spacing w:line="360" w:lineRule="auto"/>
        <w:ind w:firstLineChars="200" w:firstLine="640"/>
        <w:rPr>
          <w:rFonts w:ascii="仿宋" w:eastAsia="仿宋" w:hAnsi="仿宋" w:cs="仿宋"/>
          <w:color w:val="000000"/>
          <w:sz w:val="32"/>
          <w:szCs w:val="28"/>
        </w:rPr>
      </w:pPr>
      <w:r>
        <w:rPr>
          <w:rFonts w:ascii="仿宋" w:eastAsia="仿宋" w:hAnsi="仿宋" w:cs="仿宋" w:hint="eastAsia"/>
          <w:color w:val="000000"/>
          <w:sz w:val="32"/>
          <w:szCs w:val="28"/>
        </w:rPr>
        <w:t>准备患者放射治疗照射、启动照射、中断辐照、终止辐照、继续辐照；</w:t>
      </w:r>
    </w:p>
    <w:p w14:paraId="7E66DE48" w14:textId="77777777" w:rsidR="002F32D3" w:rsidRDefault="00753E37">
      <w:pPr>
        <w:numPr>
          <w:ilvl w:val="0"/>
          <w:numId w:val="2"/>
        </w:numPr>
        <w:spacing w:line="360" w:lineRule="auto"/>
        <w:ind w:firstLineChars="200" w:firstLine="640"/>
        <w:rPr>
          <w:rFonts w:ascii="仿宋" w:eastAsia="仿宋" w:hAnsi="仿宋" w:cs="仿宋"/>
          <w:color w:val="000000"/>
          <w:sz w:val="32"/>
          <w:szCs w:val="28"/>
        </w:rPr>
      </w:pPr>
      <w:r>
        <w:rPr>
          <w:rFonts w:ascii="仿宋" w:eastAsia="仿宋" w:hAnsi="仿宋" w:cs="仿宋" w:hint="eastAsia"/>
          <w:color w:val="000000"/>
          <w:sz w:val="32"/>
          <w:szCs w:val="28"/>
        </w:rPr>
        <w:t>显示治疗照射中采集的数据；</w:t>
      </w:r>
    </w:p>
    <w:p w14:paraId="4B6A783A" w14:textId="77777777" w:rsidR="002F32D3" w:rsidRDefault="00753E37">
      <w:pPr>
        <w:numPr>
          <w:ilvl w:val="0"/>
          <w:numId w:val="2"/>
        </w:numPr>
        <w:spacing w:line="360" w:lineRule="auto"/>
        <w:ind w:firstLineChars="200" w:firstLine="640"/>
        <w:rPr>
          <w:rFonts w:ascii="仿宋" w:eastAsia="仿宋" w:hAnsi="仿宋" w:cs="仿宋"/>
          <w:color w:val="000000"/>
          <w:sz w:val="32"/>
          <w:szCs w:val="28"/>
        </w:rPr>
      </w:pPr>
      <w:r>
        <w:rPr>
          <w:rFonts w:ascii="仿宋" w:eastAsia="仿宋" w:hAnsi="仿宋" w:cs="仿宋" w:hint="eastAsia"/>
          <w:color w:val="000000"/>
          <w:sz w:val="32"/>
          <w:szCs w:val="28"/>
        </w:rPr>
        <w:t>记录治疗过程，处理中断的放射记录分次放射。</w:t>
      </w:r>
    </w:p>
    <w:p w14:paraId="4E931D84" w14:textId="77777777" w:rsidR="002F32D3" w:rsidRDefault="00753E37">
      <w:pPr>
        <w:spacing w:line="360" w:lineRule="auto"/>
        <w:ind w:firstLineChars="200" w:firstLine="640"/>
        <w:outlineLvl w:val="2"/>
        <w:rPr>
          <w:rFonts w:ascii="楷体" w:eastAsia="楷体" w:hAnsi="楷体" w:cs="楷体"/>
          <w:sz w:val="32"/>
          <w:szCs w:val="32"/>
        </w:rPr>
      </w:pPr>
      <w:bookmarkStart w:id="70" w:name="_Toc26745"/>
      <w:bookmarkStart w:id="71" w:name="_Toc11919"/>
      <w:bookmarkStart w:id="72" w:name="_Toc19609"/>
      <w:bookmarkStart w:id="73" w:name="_Toc7542"/>
      <w:bookmarkStart w:id="74" w:name="_Toc17253"/>
      <w:bookmarkStart w:id="75" w:name="_Toc4743"/>
      <w:bookmarkStart w:id="76" w:name="_Toc3564"/>
      <w:bookmarkStart w:id="77" w:name="_Toc1284"/>
      <w:bookmarkStart w:id="78" w:name="_Toc9947"/>
      <w:bookmarkStart w:id="79" w:name="_Toc18315"/>
      <w:bookmarkStart w:id="80" w:name="_Toc3108"/>
      <w:bookmarkStart w:id="81" w:name="_Toc9602"/>
      <w:bookmarkStart w:id="82" w:name="_Toc30797"/>
      <w:bookmarkStart w:id="83" w:name="_Toc30827"/>
      <w:r>
        <w:rPr>
          <w:rFonts w:ascii="楷体" w:eastAsia="楷体" w:hAnsi="楷体" w:cs="楷体" w:hint="eastAsia"/>
          <w:sz w:val="32"/>
          <w:szCs w:val="32"/>
        </w:rPr>
        <w:t>（三）结构组成</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7CE01FA0" w14:textId="77777777" w:rsidR="002F32D3" w:rsidRDefault="00753E37">
      <w:pPr>
        <w:spacing w:line="360" w:lineRule="auto"/>
        <w:ind w:firstLineChars="200" w:firstLine="640"/>
        <w:rPr>
          <w:rFonts w:ascii="仿宋" w:eastAsia="仿宋" w:hAnsi="仿宋" w:cs="仿宋"/>
          <w:sz w:val="32"/>
          <w:szCs w:val="32"/>
        </w:rPr>
      </w:pPr>
      <w:r>
        <w:rPr>
          <w:rFonts w:ascii="仿宋" w:eastAsia="仿宋" w:hAnsi="仿宋" w:cs="仿宋" w:hint="eastAsia"/>
          <w:color w:val="000000"/>
          <w:sz w:val="32"/>
          <w:szCs w:val="28"/>
        </w:rPr>
        <w:t>治疗控制系统软件结构模块通常包括信息管理（用户登录、摆位计划推送、照射计划推送、摆位验证、实时照射数据、照射报告提交）、图像引导定位+呼吸运动管理治疗室（启动定位、定位结果、定位完成、启动呼吸运动跟踪）、照射控制（照射计划推送、实时照射数据、运行指令）、治疗床调整（摆位调整、运动状态、摆位结果）、机架调整（机架调整、运动状态、机架结果）、治疗流程（束流申请、启动照射、照射报告提交、计划获取、摆位调整、束流申请、启动照射、照射报告）。</w:t>
      </w:r>
    </w:p>
    <w:p w14:paraId="3D2A32B0" w14:textId="77777777" w:rsidR="002F32D3" w:rsidRDefault="00753E37">
      <w:pPr>
        <w:numPr>
          <w:ilvl w:val="0"/>
          <w:numId w:val="3"/>
        </w:numPr>
        <w:spacing w:line="360" w:lineRule="auto"/>
        <w:outlineLvl w:val="1"/>
        <w:rPr>
          <w:rFonts w:ascii="黑体" w:eastAsia="黑体" w:hAnsi="黑体" w:cs="黑体"/>
          <w:sz w:val="32"/>
          <w:szCs w:val="32"/>
        </w:rPr>
      </w:pPr>
      <w:r>
        <w:rPr>
          <w:rFonts w:ascii="黑体" w:eastAsia="黑体" w:hAnsi="黑体" w:cs="黑体" w:hint="eastAsia"/>
          <w:sz w:val="32"/>
          <w:szCs w:val="32"/>
        </w:rPr>
        <w:t>主要技术指标</w:t>
      </w:r>
    </w:p>
    <w:tbl>
      <w:tblPr>
        <w:tblStyle w:val="a5"/>
        <w:tblW w:w="9126" w:type="dxa"/>
        <w:jc w:val="center"/>
        <w:tblLook w:val="04A0" w:firstRow="1" w:lastRow="0" w:firstColumn="1" w:lastColumn="0" w:noHBand="0" w:noVBand="1"/>
      </w:tblPr>
      <w:tblGrid>
        <w:gridCol w:w="794"/>
        <w:gridCol w:w="1847"/>
        <w:gridCol w:w="4090"/>
        <w:gridCol w:w="2395"/>
      </w:tblGrid>
      <w:tr w:rsidR="002F32D3" w14:paraId="4301CBBD" w14:textId="77777777">
        <w:trPr>
          <w:tblHeader/>
          <w:jc w:val="center"/>
        </w:trPr>
        <w:tc>
          <w:tcPr>
            <w:tcW w:w="794" w:type="dxa"/>
            <w:vAlign w:val="center"/>
          </w:tcPr>
          <w:p w14:paraId="41C4C794" w14:textId="77777777" w:rsidR="002F32D3" w:rsidRDefault="00753E37">
            <w:pPr>
              <w:autoSpaceDE w:val="0"/>
              <w:autoSpaceDN w:val="0"/>
              <w:spacing w:line="360" w:lineRule="auto"/>
              <w:ind w:rightChars="30" w:right="63"/>
              <w:jc w:val="center"/>
              <w:rPr>
                <w:rFonts w:ascii="仿宋_GB2312" w:eastAsia="仿宋_GB2312" w:hAnsi="Arial" w:cs="Arial"/>
                <w:b/>
                <w:bCs/>
                <w:sz w:val="24"/>
              </w:rPr>
            </w:pPr>
            <w:bookmarkStart w:id="84" w:name="OLE_LINK1"/>
            <w:r>
              <w:rPr>
                <w:rFonts w:ascii="仿宋_GB2312" w:eastAsia="仿宋_GB2312" w:hAnsi="Arial" w:cs="Arial" w:hint="eastAsia"/>
                <w:b/>
                <w:bCs/>
                <w:sz w:val="24"/>
              </w:rPr>
              <w:t>序号</w:t>
            </w:r>
          </w:p>
        </w:tc>
        <w:tc>
          <w:tcPr>
            <w:tcW w:w="1847" w:type="dxa"/>
            <w:vAlign w:val="center"/>
          </w:tcPr>
          <w:p w14:paraId="3529427F" w14:textId="77777777" w:rsidR="002F32D3" w:rsidRDefault="00753E37">
            <w:pPr>
              <w:autoSpaceDE w:val="0"/>
              <w:autoSpaceDN w:val="0"/>
              <w:spacing w:line="360" w:lineRule="auto"/>
              <w:ind w:rightChars="30" w:right="63"/>
              <w:jc w:val="center"/>
              <w:rPr>
                <w:rFonts w:ascii="仿宋_GB2312" w:eastAsia="仿宋_GB2312" w:hAnsi="Arial" w:cs="Arial"/>
                <w:b/>
                <w:bCs/>
                <w:sz w:val="24"/>
              </w:rPr>
            </w:pPr>
            <w:r>
              <w:rPr>
                <w:rFonts w:ascii="仿宋_GB2312" w:eastAsia="仿宋_GB2312" w:hAnsi="Arial" w:cs="Arial" w:hint="eastAsia"/>
                <w:b/>
                <w:bCs/>
                <w:sz w:val="24"/>
              </w:rPr>
              <w:t>检验项目</w:t>
            </w:r>
          </w:p>
        </w:tc>
        <w:tc>
          <w:tcPr>
            <w:tcW w:w="4090" w:type="dxa"/>
            <w:vAlign w:val="center"/>
          </w:tcPr>
          <w:p w14:paraId="0AE8DD41" w14:textId="77777777" w:rsidR="002F32D3" w:rsidRDefault="00753E37">
            <w:pPr>
              <w:autoSpaceDE w:val="0"/>
              <w:autoSpaceDN w:val="0"/>
              <w:spacing w:line="360" w:lineRule="auto"/>
              <w:ind w:rightChars="30" w:right="63"/>
              <w:jc w:val="center"/>
              <w:rPr>
                <w:rFonts w:ascii="仿宋_GB2312" w:eastAsia="仿宋_GB2312" w:hAnsi="Arial" w:cs="Arial"/>
                <w:b/>
                <w:bCs/>
                <w:sz w:val="24"/>
              </w:rPr>
            </w:pPr>
            <w:r>
              <w:rPr>
                <w:rFonts w:ascii="仿宋_GB2312" w:eastAsia="仿宋_GB2312" w:hAnsi="Arial" w:cs="Arial" w:hint="eastAsia"/>
                <w:b/>
                <w:bCs/>
                <w:sz w:val="24"/>
              </w:rPr>
              <w:t>主要控制指标</w:t>
            </w:r>
          </w:p>
        </w:tc>
        <w:tc>
          <w:tcPr>
            <w:tcW w:w="2395" w:type="dxa"/>
            <w:vAlign w:val="center"/>
          </w:tcPr>
          <w:p w14:paraId="7B85529C" w14:textId="77777777" w:rsidR="002F32D3" w:rsidRDefault="00753E37">
            <w:pPr>
              <w:autoSpaceDE w:val="0"/>
              <w:autoSpaceDN w:val="0"/>
              <w:spacing w:line="360" w:lineRule="auto"/>
              <w:ind w:rightChars="30" w:right="63"/>
              <w:jc w:val="center"/>
              <w:rPr>
                <w:rFonts w:ascii="仿宋_GB2312" w:eastAsia="仿宋_GB2312" w:hAnsi="Arial" w:cs="Arial"/>
                <w:b/>
                <w:bCs/>
                <w:sz w:val="24"/>
              </w:rPr>
            </w:pPr>
            <w:r>
              <w:rPr>
                <w:rFonts w:ascii="仿宋_GB2312" w:eastAsia="仿宋_GB2312" w:hAnsi="Arial" w:cs="Arial" w:hint="eastAsia"/>
                <w:b/>
                <w:bCs/>
                <w:sz w:val="24"/>
              </w:rPr>
              <w:t>检验方法</w:t>
            </w:r>
          </w:p>
        </w:tc>
      </w:tr>
      <w:tr w:rsidR="002F32D3" w14:paraId="62A44261" w14:textId="77777777">
        <w:trPr>
          <w:trHeight w:val="636"/>
          <w:jc w:val="center"/>
        </w:trPr>
        <w:tc>
          <w:tcPr>
            <w:tcW w:w="794" w:type="dxa"/>
            <w:vAlign w:val="center"/>
          </w:tcPr>
          <w:p w14:paraId="37B42AEE" w14:textId="77777777" w:rsidR="002F32D3" w:rsidRDefault="002F32D3">
            <w:pPr>
              <w:numPr>
                <w:ilvl w:val="0"/>
                <w:numId w:val="4"/>
              </w:numPr>
              <w:autoSpaceDE w:val="0"/>
              <w:autoSpaceDN w:val="0"/>
              <w:spacing w:line="360" w:lineRule="auto"/>
              <w:ind w:firstLine="0"/>
              <w:jc w:val="center"/>
              <w:rPr>
                <w:rFonts w:ascii="仿宋_GB2312" w:eastAsia="仿宋_GB2312" w:hAnsi="仿宋_GB2312" w:cs="仿宋_GB2312"/>
                <w:sz w:val="24"/>
              </w:rPr>
            </w:pPr>
          </w:p>
        </w:tc>
        <w:tc>
          <w:tcPr>
            <w:tcW w:w="1847" w:type="dxa"/>
            <w:vAlign w:val="center"/>
          </w:tcPr>
          <w:p w14:paraId="5C371AB4" w14:textId="77777777" w:rsidR="002F32D3" w:rsidRDefault="00753E37">
            <w:pPr>
              <w:autoSpaceDE w:val="0"/>
              <w:autoSpaceDN w:val="0"/>
              <w:spacing w:line="360" w:lineRule="auto"/>
              <w:ind w:rightChars="30" w:right="63"/>
              <w:jc w:val="center"/>
              <w:rPr>
                <w:rFonts w:ascii="仿宋" w:eastAsia="仿宋" w:hAnsi="仿宋" w:cs="仿宋"/>
                <w:sz w:val="24"/>
              </w:rPr>
            </w:pPr>
            <w:r>
              <w:rPr>
                <w:rFonts w:ascii="仿宋" w:eastAsia="仿宋" w:hAnsi="仿宋" w:cs="仿宋" w:hint="eastAsia"/>
                <w:sz w:val="24"/>
              </w:rPr>
              <w:t>软件环境</w:t>
            </w:r>
          </w:p>
        </w:tc>
        <w:tc>
          <w:tcPr>
            <w:tcW w:w="4090" w:type="dxa"/>
          </w:tcPr>
          <w:p w14:paraId="1BA8BF9F"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技术文件中应提供治疗控制系统运行环境，包括：服务端、客户端的软件环境和硬件环境及网络环境</w:t>
            </w:r>
          </w:p>
        </w:tc>
        <w:tc>
          <w:tcPr>
            <w:tcW w:w="2395" w:type="dxa"/>
            <w:vAlign w:val="center"/>
          </w:tcPr>
          <w:p w14:paraId="64EAB7E6"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按照企业制定的规程</w:t>
            </w:r>
          </w:p>
        </w:tc>
      </w:tr>
      <w:tr w:rsidR="002F32D3" w14:paraId="42D7CEC9" w14:textId="77777777">
        <w:trPr>
          <w:trHeight w:val="605"/>
          <w:jc w:val="center"/>
        </w:trPr>
        <w:tc>
          <w:tcPr>
            <w:tcW w:w="794" w:type="dxa"/>
            <w:vAlign w:val="center"/>
          </w:tcPr>
          <w:p w14:paraId="003E7DB0" w14:textId="77777777" w:rsidR="002F32D3" w:rsidRDefault="002F32D3">
            <w:pPr>
              <w:numPr>
                <w:ilvl w:val="0"/>
                <w:numId w:val="4"/>
              </w:numPr>
              <w:autoSpaceDE w:val="0"/>
              <w:autoSpaceDN w:val="0"/>
              <w:spacing w:line="360" w:lineRule="auto"/>
              <w:ind w:firstLine="0"/>
              <w:jc w:val="center"/>
              <w:rPr>
                <w:rFonts w:ascii="仿宋_GB2312" w:eastAsia="仿宋_GB2312" w:hAnsi="仿宋_GB2312" w:cs="仿宋_GB2312"/>
                <w:sz w:val="24"/>
              </w:rPr>
            </w:pPr>
          </w:p>
        </w:tc>
        <w:tc>
          <w:tcPr>
            <w:tcW w:w="1847" w:type="dxa"/>
            <w:vAlign w:val="center"/>
          </w:tcPr>
          <w:p w14:paraId="1E00232B" w14:textId="77777777" w:rsidR="002F32D3" w:rsidRDefault="00753E37">
            <w:pPr>
              <w:autoSpaceDE w:val="0"/>
              <w:autoSpaceDN w:val="0"/>
              <w:spacing w:line="360" w:lineRule="auto"/>
              <w:ind w:rightChars="30" w:right="63"/>
              <w:jc w:val="center"/>
              <w:rPr>
                <w:rFonts w:ascii="仿宋" w:eastAsia="仿宋" w:hAnsi="仿宋" w:cs="仿宋"/>
                <w:sz w:val="24"/>
              </w:rPr>
            </w:pPr>
            <w:r>
              <w:rPr>
                <w:rFonts w:ascii="仿宋" w:eastAsia="仿宋" w:hAnsi="仿宋" w:cs="仿宋" w:hint="eastAsia"/>
                <w:sz w:val="24"/>
              </w:rPr>
              <w:t>临床功能</w:t>
            </w:r>
          </w:p>
        </w:tc>
        <w:tc>
          <w:tcPr>
            <w:tcW w:w="4090" w:type="dxa"/>
            <w:vAlign w:val="center"/>
          </w:tcPr>
          <w:p w14:paraId="44FD1CF1"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技术文件中应提供治疗控制系统临床功能包括显示功能及患者治疗功能，显示功能包括</w:t>
            </w:r>
            <w:r>
              <w:rPr>
                <w:rFonts w:ascii="仿宋" w:eastAsia="仿宋" w:hAnsi="仿宋" w:hint="eastAsia"/>
                <w:sz w:val="24"/>
              </w:rPr>
              <w:t>显示治疗计划中的患者信息、治疗床和治疗头的位置信息，显示辐射剂量信息、剂量率信息、治疗状态和系统联锁状态；患者治疗功能包括启动照射、中断辐照、终止辐照、继续辐照、上传照射数据。</w:t>
            </w:r>
          </w:p>
        </w:tc>
        <w:tc>
          <w:tcPr>
            <w:tcW w:w="2395" w:type="dxa"/>
            <w:vAlign w:val="center"/>
          </w:tcPr>
          <w:p w14:paraId="6135E74D"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按照企业制定的规程</w:t>
            </w:r>
          </w:p>
          <w:p w14:paraId="6A9E092C" w14:textId="77777777" w:rsidR="002F32D3" w:rsidRDefault="002F32D3">
            <w:pPr>
              <w:autoSpaceDE w:val="0"/>
              <w:autoSpaceDN w:val="0"/>
              <w:spacing w:line="360" w:lineRule="auto"/>
              <w:rPr>
                <w:rFonts w:ascii="仿宋" w:eastAsia="仿宋" w:hAnsi="仿宋" w:cs="仿宋"/>
                <w:sz w:val="24"/>
              </w:rPr>
            </w:pPr>
          </w:p>
        </w:tc>
      </w:tr>
      <w:tr w:rsidR="002F32D3" w14:paraId="7341903B" w14:textId="77777777">
        <w:trPr>
          <w:trHeight w:val="636"/>
          <w:jc w:val="center"/>
        </w:trPr>
        <w:tc>
          <w:tcPr>
            <w:tcW w:w="794" w:type="dxa"/>
            <w:vAlign w:val="center"/>
          </w:tcPr>
          <w:p w14:paraId="059D365E" w14:textId="77777777" w:rsidR="002F32D3" w:rsidRDefault="002F32D3">
            <w:pPr>
              <w:numPr>
                <w:ilvl w:val="0"/>
                <w:numId w:val="4"/>
              </w:numPr>
              <w:autoSpaceDE w:val="0"/>
              <w:autoSpaceDN w:val="0"/>
              <w:spacing w:line="360" w:lineRule="auto"/>
              <w:ind w:firstLine="0"/>
              <w:jc w:val="center"/>
              <w:rPr>
                <w:rFonts w:ascii="仿宋_GB2312" w:eastAsia="仿宋_GB2312" w:hAnsi="仿宋_GB2312" w:cs="仿宋_GB2312"/>
                <w:sz w:val="24"/>
              </w:rPr>
            </w:pPr>
          </w:p>
        </w:tc>
        <w:tc>
          <w:tcPr>
            <w:tcW w:w="1847" w:type="dxa"/>
            <w:vAlign w:val="center"/>
          </w:tcPr>
          <w:p w14:paraId="16193471" w14:textId="77777777" w:rsidR="002F32D3" w:rsidRDefault="00753E37">
            <w:pPr>
              <w:autoSpaceDE w:val="0"/>
              <w:autoSpaceDN w:val="0"/>
              <w:spacing w:line="360" w:lineRule="auto"/>
              <w:ind w:rightChars="30" w:right="63"/>
              <w:jc w:val="center"/>
              <w:rPr>
                <w:rFonts w:ascii="仿宋" w:eastAsia="仿宋" w:hAnsi="仿宋" w:cs="仿宋"/>
                <w:sz w:val="24"/>
              </w:rPr>
            </w:pPr>
            <w:r>
              <w:rPr>
                <w:rFonts w:ascii="仿宋" w:eastAsia="仿宋" w:hAnsi="仿宋" w:cs="仿宋" w:hint="eastAsia"/>
                <w:sz w:val="24"/>
              </w:rPr>
              <w:t>使用限制</w:t>
            </w:r>
          </w:p>
        </w:tc>
        <w:tc>
          <w:tcPr>
            <w:tcW w:w="4090" w:type="dxa"/>
            <w:vAlign w:val="center"/>
          </w:tcPr>
          <w:p w14:paraId="6D83799C"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技术文件中应提供治疗控制系统用户使用限制</w:t>
            </w:r>
          </w:p>
        </w:tc>
        <w:tc>
          <w:tcPr>
            <w:tcW w:w="2395" w:type="dxa"/>
            <w:vAlign w:val="center"/>
          </w:tcPr>
          <w:p w14:paraId="47125267" w14:textId="77777777" w:rsidR="002F32D3" w:rsidRDefault="00753E37">
            <w:pPr>
              <w:autoSpaceDE w:val="0"/>
              <w:autoSpaceDN w:val="0"/>
              <w:spacing w:line="360" w:lineRule="auto"/>
              <w:rPr>
                <w:rFonts w:ascii="仿宋_GB2312" w:eastAsia="仿宋_GB2312" w:hAnsi="仿宋" w:cs="仿宋"/>
                <w:sz w:val="24"/>
              </w:rPr>
            </w:pPr>
            <w:r>
              <w:rPr>
                <w:rFonts w:ascii="仿宋_GB2312" w:eastAsia="仿宋_GB2312" w:hAnsi="仿宋" w:cs="仿宋" w:hint="eastAsia"/>
                <w:sz w:val="24"/>
              </w:rPr>
              <w:t>按照企业制定的规程</w:t>
            </w:r>
          </w:p>
        </w:tc>
      </w:tr>
      <w:tr w:rsidR="002F32D3" w14:paraId="75E5ADB0" w14:textId="77777777">
        <w:trPr>
          <w:trHeight w:val="586"/>
          <w:jc w:val="center"/>
        </w:trPr>
        <w:tc>
          <w:tcPr>
            <w:tcW w:w="794" w:type="dxa"/>
            <w:vAlign w:val="center"/>
          </w:tcPr>
          <w:p w14:paraId="58738630" w14:textId="77777777" w:rsidR="002F32D3" w:rsidRDefault="002F32D3">
            <w:pPr>
              <w:numPr>
                <w:ilvl w:val="0"/>
                <w:numId w:val="4"/>
              </w:numPr>
              <w:autoSpaceDE w:val="0"/>
              <w:autoSpaceDN w:val="0"/>
              <w:spacing w:line="360" w:lineRule="auto"/>
              <w:ind w:firstLine="0"/>
              <w:jc w:val="center"/>
              <w:rPr>
                <w:rFonts w:ascii="仿宋_GB2312" w:eastAsia="仿宋_GB2312" w:hAnsi="仿宋_GB2312" w:cs="仿宋_GB2312"/>
                <w:sz w:val="24"/>
              </w:rPr>
            </w:pPr>
          </w:p>
        </w:tc>
        <w:tc>
          <w:tcPr>
            <w:tcW w:w="1847" w:type="dxa"/>
            <w:vAlign w:val="center"/>
          </w:tcPr>
          <w:p w14:paraId="23E7DD88" w14:textId="77777777" w:rsidR="002F32D3" w:rsidRDefault="00753E37">
            <w:pPr>
              <w:autoSpaceDE w:val="0"/>
              <w:autoSpaceDN w:val="0"/>
              <w:spacing w:line="360" w:lineRule="auto"/>
              <w:ind w:rightChars="30" w:right="63"/>
              <w:jc w:val="center"/>
              <w:rPr>
                <w:rFonts w:ascii="仿宋" w:eastAsia="仿宋" w:hAnsi="仿宋" w:cs="仿宋"/>
                <w:sz w:val="24"/>
              </w:rPr>
            </w:pPr>
            <w:r>
              <w:rPr>
                <w:rFonts w:ascii="仿宋" w:eastAsia="仿宋" w:hAnsi="仿宋" w:cs="仿宋" w:hint="eastAsia"/>
                <w:sz w:val="24"/>
              </w:rPr>
              <w:t>数据接口</w:t>
            </w:r>
          </w:p>
        </w:tc>
        <w:tc>
          <w:tcPr>
            <w:tcW w:w="4090" w:type="dxa"/>
            <w:vAlign w:val="center"/>
          </w:tcPr>
          <w:p w14:paraId="505AAEF0"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技术文件中应提供治疗控制系统数据交互接口，</w:t>
            </w:r>
            <w:r>
              <w:rPr>
                <w:rFonts w:ascii="仿宋" w:eastAsia="仿宋" w:hAnsi="仿宋" w:hint="eastAsia"/>
                <w:sz w:val="24"/>
              </w:rPr>
              <w:t>支持通过配置参数与肿瘤信息管理系统、图像引导系统、视频监控系统、照射控制系统、 患者定位系统、加速器控制系统连接。</w:t>
            </w:r>
          </w:p>
        </w:tc>
        <w:tc>
          <w:tcPr>
            <w:tcW w:w="2395" w:type="dxa"/>
            <w:vAlign w:val="center"/>
          </w:tcPr>
          <w:p w14:paraId="61F30697" w14:textId="77777777" w:rsidR="002F32D3" w:rsidRDefault="00753E37">
            <w:pPr>
              <w:autoSpaceDE w:val="0"/>
              <w:autoSpaceDN w:val="0"/>
              <w:spacing w:line="360" w:lineRule="auto"/>
              <w:rPr>
                <w:rFonts w:ascii="仿宋_GB2312" w:eastAsia="仿宋_GB2312" w:hAnsi="仿宋" w:cs="仿宋"/>
                <w:sz w:val="24"/>
              </w:rPr>
            </w:pPr>
            <w:r>
              <w:rPr>
                <w:rFonts w:ascii="仿宋_GB2312" w:eastAsia="仿宋_GB2312" w:hAnsi="仿宋" w:cs="仿宋" w:hint="eastAsia"/>
                <w:sz w:val="24"/>
              </w:rPr>
              <w:t>按照企业制定的规程</w:t>
            </w:r>
          </w:p>
        </w:tc>
      </w:tr>
      <w:tr w:rsidR="002F32D3" w14:paraId="773754B6" w14:textId="77777777">
        <w:trPr>
          <w:trHeight w:val="556"/>
          <w:jc w:val="center"/>
        </w:trPr>
        <w:tc>
          <w:tcPr>
            <w:tcW w:w="794" w:type="dxa"/>
            <w:vAlign w:val="center"/>
          </w:tcPr>
          <w:p w14:paraId="67E502F8" w14:textId="77777777" w:rsidR="002F32D3" w:rsidRDefault="002F32D3">
            <w:pPr>
              <w:numPr>
                <w:ilvl w:val="0"/>
                <w:numId w:val="4"/>
              </w:numPr>
              <w:autoSpaceDE w:val="0"/>
              <w:autoSpaceDN w:val="0"/>
              <w:spacing w:line="360" w:lineRule="auto"/>
              <w:ind w:firstLine="0"/>
              <w:jc w:val="center"/>
              <w:rPr>
                <w:rFonts w:ascii="仿宋_GB2312" w:eastAsia="仿宋_GB2312" w:hAnsi="仿宋_GB2312" w:cs="仿宋_GB2312"/>
                <w:sz w:val="24"/>
              </w:rPr>
            </w:pPr>
          </w:p>
        </w:tc>
        <w:tc>
          <w:tcPr>
            <w:tcW w:w="1847" w:type="dxa"/>
            <w:vAlign w:val="center"/>
          </w:tcPr>
          <w:p w14:paraId="27F3555D" w14:textId="77777777" w:rsidR="002F32D3" w:rsidRDefault="00753E37">
            <w:pPr>
              <w:autoSpaceDE w:val="0"/>
              <w:autoSpaceDN w:val="0"/>
              <w:spacing w:line="360" w:lineRule="auto"/>
              <w:ind w:rightChars="30" w:right="63"/>
              <w:jc w:val="center"/>
              <w:rPr>
                <w:rFonts w:ascii="仿宋" w:eastAsia="仿宋" w:hAnsi="仿宋" w:cs="仿宋"/>
                <w:sz w:val="24"/>
              </w:rPr>
            </w:pPr>
            <w:r>
              <w:rPr>
                <w:rFonts w:ascii="仿宋" w:eastAsia="仿宋" w:hAnsi="仿宋" w:cs="仿宋" w:hint="eastAsia"/>
                <w:sz w:val="24"/>
              </w:rPr>
              <w:t>用户访问控制</w:t>
            </w:r>
          </w:p>
        </w:tc>
        <w:tc>
          <w:tcPr>
            <w:tcW w:w="4090" w:type="dxa"/>
            <w:vAlign w:val="center"/>
          </w:tcPr>
          <w:p w14:paraId="73DE394E"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技术文件中应提供治疗控制系统软件登录用户名和密码，以及用户权限区分</w:t>
            </w:r>
          </w:p>
        </w:tc>
        <w:tc>
          <w:tcPr>
            <w:tcW w:w="2395" w:type="dxa"/>
            <w:vAlign w:val="center"/>
          </w:tcPr>
          <w:p w14:paraId="0AB23DF3" w14:textId="77777777" w:rsidR="002F32D3" w:rsidRDefault="00753E37">
            <w:pPr>
              <w:autoSpaceDE w:val="0"/>
              <w:autoSpaceDN w:val="0"/>
              <w:spacing w:line="360" w:lineRule="auto"/>
              <w:rPr>
                <w:rFonts w:ascii="仿宋_GB2312" w:eastAsia="仿宋_GB2312" w:hAnsi="仿宋" w:cs="仿宋"/>
                <w:sz w:val="24"/>
              </w:rPr>
            </w:pPr>
            <w:r>
              <w:rPr>
                <w:rFonts w:ascii="仿宋_GB2312" w:eastAsia="仿宋_GB2312" w:hAnsi="仿宋" w:cs="仿宋" w:hint="eastAsia"/>
                <w:sz w:val="24"/>
              </w:rPr>
              <w:t>按照企业制定的规程</w:t>
            </w:r>
          </w:p>
        </w:tc>
      </w:tr>
      <w:tr w:rsidR="002F32D3" w14:paraId="19F68B79" w14:textId="77777777">
        <w:trPr>
          <w:trHeight w:val="636"/>
          <w:jc w:val="center"/>
        </w:trPr>
        <w:tc>
          <w:tcPr>
            <w:tcW w:w="794" w:type="dxa"/>
            <w:vAlign w:val="center"/>
          </w:tcPr>
          <w:p w14:paraId="72A11442" w14:textId="77777777" w:rsidR="002F32D3" w:rsidRDefault="002F32D3">
            <w:pPr>
              <w:numPr>
                <w:ilvl w:val="0"/>
                <w:numId w:val="4"/>
              </w:numPr>
              <w:autoSpaceDE w:val="0"/>
              <w:autoSpaceDN w:val="0"/>
              <w:spacing w:line="360" w:lineRule="auto"/>
              <w:ind w:firstLine="0"/>
              <w:jc w:val="center"/>
              <w:rPr>
                <w:rFonts w:ascii="仿宋_GB2312" w:eastAsia="仿宋_GB2312" w:hAnsi="仿宋_GB2312" w:cs="仿宋_GB2312"/>
                <w:sz w:val="24"/>
              </w:rPr>
            </w:pPr>
          </w:p>
        </w:tc>
        <w:tc>
          <w:tcPr>
            <w:tcW w:w="1847" w:type="dxa"/>
            <w:vAlign w:val="center"/>
          </w:tcPr>
          <w:p w14:paraId="2C2B4705" w14:textId="77777777" w:rsidR="002F32D3" w:rsidRDefault="00753E37">
            <w:pPr>
              <w:autoSpaceDE w:val="0"/>
              <w:autoSpaceDN w:val="0"/>
              <w:spacing w:line="360" w:lineRule="auto"/>
              <w:ind w:rightChars="30" w:right="63"/>
              <w:jc w:val="center"/>
              <w:rPr>
                <w:rFonts w:ascii="仿宋" w:eastAsia="仿宋" w:hAnsi="仿宋" w:cs="仿宋"/>
                <w:sz w:val="24"/>
              </w:rPr>
            </w:pPr>
            <w:r>
              <w:rPr>
                <w:rFonts w:ascii="仿宋" w:eastAsia="仿宋" w:hAnsi="仿宋" w:cs="仿宋" w:hint="eastAsia"/>
                <w:sz w:val="24"/>
              </w:rPr>
              <w:t>性能</w:t>
            </w:r>
          </w:p>
        </w:tc>
        <w:tc>
          <w:tcPr>
            <w:tcW w:w="4090" w:type="dxa"/>
            <w:vAlign w:val="center"/>
          </w:tcPr>
          <w:p w14:paraId="719C140F"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技术文件中应提供治疗控制系统软件易用性、可靠性、兼容性、性能效率、维护性、可移植性、信息安全性等</w:t>
            </w:r>
          </w:p>
        </w:tc>
        <w:tc>
          <w:tcPr>
            <w:tcW w:w="2395" w:type="dxa"/>
            <w:vAlign w:val="center"/>
          </w:tcPr>
          <w:p w14:paraId="154CC028" w14:textId="77777777" w:rsidR="002F32D3" w:rsidRDefault="00753E37">
            <w:pPr>
              <w:autoSpaceDE w:val="0"/>
              <w:autoSpaceDN w:val="0"/>
              <w:spacing w:line="360" w:lineRule="auto"/>
              <w:rPr>
                <w:rFonts w:ascii="仿宋_GB2312" w:eastAsia="仿宋_GB2312" w:hAnsi="仿宋" w:cs="仿宋"/>
                <w:sz w:val="24"/>
              </w:rPr>
            </w:pPr>
            <w:r>
              <w:rPr>
                <w:rFonts w:ascii="仿宋_GB2312" w:eastAsia="仿宋_GB2312" w:hAnsi="仿宋" w:cs="仿宋" w:hint="eastAsia"/>
                <w:sz w:val="24"/>
              </w:rPr>
              <w:t>按照企业制定的规程</w:t>
            </w:r>
          </w:p>
        </w:tc>
      </w:tr>
    </w:tbl>
    <w:p w14:paraId="20C9C3AC" w14:textId="77777777" w:rsidR="002F32D3" w:rsidRDefault="00753E37">
      <w:pPr>
        <w:spacing w:line="360" w:lineRule="auto"/>
        <w:outlineLvl w:val="1"/>
        <w:rPr>
          <w:rFonts w:ascii="黑体" w:eastAsia="黑体" w:hAnsi="黑体" w:cs="黑体"/>
          <w:sz w:val="32"/>
          <w:szCs w:val="32"/>
        </w:rPr>
      </w:pPr>
      <w:bookmarkStart w:id="85" w:name="_Toc6694"/>
      <w:bookmarkStart w:id="86" w:name="_Toc11431"/>
      <w:bookmarkStart w:id="87" w:name="_Toc8699"/>
      <w:bookmarkStart w:id="88" w:name="_Toc16021"/>
      <w:bookmarkStart w:id="89" w:name="_Toc15885"/>
      <w:bookmarkStart w:id="90" w:name="_Toc16710"/>
      <w:bookmarkStart w:id="91" w:name="_Toc1591"/>
      <w:bookmarkStart w:id="92" w:name="_Toc19821"/>
      <w:bookmarkStart w:id="93" w:name="_Toc16201"/>
      <w:bookmarkStart w:id="94" w:name="_Toc31885"/>
      <w:bookmarkStart w:id="95" w:name="_Toc11875"/>
      <w:bookmarkStart w:id="96" w:name="_Toc18088"/>
      <w:bookmarkStart w:id="97" w:name="_Toc22283"/>
      <w:bookmarkStart w:id="98" w:name="_Toc14141"/>
      <w:bookmarkEnd w:id="84"/>
      <w:r>
        <w:rPr>
          <w:rFonts w:ascii="黑体" w:eastAsia="黑体" w:hAnsi="黑体" w:cs="黑体" w:hint="eastAsia"/>
          <w:sz w:val="32"/>
          <w:szCs w:val="32"/>
        </w:rPr>
        <w:t>三、生产工艺和质量关键控制点</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77646064" w14:textId="77777777" w:rsidR="002F32D3" w:rsidRDefault="00753E37">
      <w:pPr>
        <w:spacing w:line="360" w:lineRule="auto"/>
        <w:ind w:firstLineChars="200" w:firstLine="640"/>
        <w:outlineLvl w:val="2"/>
        <w:rPr>
          <w:rFonts w:ascii="楷体" w:eastAsia="楷体" w:hAnsi="楷体" w:cs="楷体"/>
          <w:sz w:val="32"/>
          <w:szCs w:val="32"/>
        </w:rPr>
      </w:pPr>
      <w:bookmarkStart w:id="99" w:name="_Toc16298"/>
      <w:bookmarkStart w:id="100" w:name="_Toc13335"/>
      <w:bookmarkStart w:id="101" w:name="_Toc14600"/>
      <w:bookmarkStart w:id="102" w:name="_Toc5114"/>
      <w:bookmarkStart w:id="103" w:name="_Toc979"/>
      <w:bookmarkStart w:id="104" w:name="_Toc9329"/>
      <w:bookmarkStart w:id="105" w:name="_Toc8546"/>
      <w:bookmarkStart w:id="106" w:name="_Toc15251"/>
      <w:bookmarkStart w:id="107" w:name="_Toc19421"/>
      <w:bookmarkStart w:id="108" w:name="_Toc23155"/>
      <w:bookmarkStart w:id="109" w:name="_Toc18076"/>
      <w:bookmarkStart w:id="110" w:name="_Toc27584"/>
      <w:bookmarkStart w:id="111" w:name="_Toc4275"/>
      <w:bookmarkStart w:id="112" w:name="_Toc246"/>
      <w:r>
        <w:rPr>
          <w:rFonts w:ascii="楷体" w:eastAsia="楷体" w:hAnsi="楷体" w:cs="楷体" w:hint="eastAsia"/>
          <w:sz w:val="32"/>
          <w:szCs w:val="32"/>
        </w:rPr>
        <w:t>（一）生产环节风险点</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211C63C6" w14:textId="77777777" w:rsidR="002F32D3" w:rsidRDefault="00753E37">
      <w:pPr>
        <w:spacing w:line="360" w:lineRule="auto"/>
        <w:ind w:firstLineChars="200" w:firstLine="640"/>
        <w:rPr>
          <w:rFonts w:ascii="仿宋" w:eastAsia="仿宋" w:hAnsi="仿宋" w:cs="仿宋"/>
          <w:color w:val="000000"/>
          <w:kern w:val="0"/>
          <w:sz w:val="32"/>
          <w:szCs w:val="28"/>
        </w:rPr>
      </w:pPr>
      <w:bookmarkStart w:id="113" w:name="_Toc414887835"/>
      <w:r>
        <w:rPr>
          <w:rFonts w:ascii="仿宋" w:eastAsia="仿宋" w:hAnsi="仿宋" w:cs="仿宋" w:hint="eastAsia"/>
          <w:color w:val="000000"/>
          <w:kern w:val="0"/>
          <w:sz w:val="32"/>
          <w:szCs w:val="28"/>
        </w:rPr>
        <w:t>治疗控制系统生产环节风险点主要包括人员、需求、开</w:t>
      </w:r>
      <w:r>
        <w:rPr>
          <w:rFonts w:ascii="仿宋" w:eastAsia="仿宋" w:hAnsi="仿宋" w:cs="仿宋" w:hint="eastAsia"/>
          <w:color w:val="000000"/>
          <w:kern w:val="0"/>
          <w:sz w:val="32"/>
          <w:szCs w:val="28"/>
        </w:rPr>
        <w:lastRenderedPageBreak/>
        <w:t>发环境、软件设计、软件验证、数据安全、配置管理、安装等。</w:t>
      </w:r>
    </w:p>
    <w:p w14:paraId="7DF0E3C4" w14:textId="77777777" w:rsidR="002F32D3" w:rsidRDefault="00753E37">
      <w:pPr>
        <w:spacing w:line="360" w:lineRule="auto"/>
        <w:ind w:firstLineChars="200" w:firstLine="640"/>
        <w:outlineLvl w:val="2"/>
        <w:rPr>
          <w:rFonts w:ascii="楷体" w:eastAsia="楷体" w:hAnsi="楷体" w:cs="楷体"/>
          <w:sz w:val="32"/>
          <w:szCs w:val="32"/>
        </w:rPr>
      </w:pPr>
      <w:bookmarkStart w:id="114" w:name="_Toc265"/>
      <w:bookmarkStart w:id="115" w:name="_Toc21724"/>
      <w:bookmarkStart w:id="116" w:name="_Toc29702"/>
      <w:bookmarkStart w:id="117" w:name="_Toc26049"/>
      <w:bookmarkStart w:id="118" w:name="_Toc6808"/>
      <w:bookmarkStart w:id="119" w:name="_Toc10796"/>
      <w:bookmarkStart w:id="120" w:name="_Toc4495"/>
      <w:bookmarkStart w:id="121" w:name="_Toc8743"/>
      <w:bookmarkStart w:id="122" w:name="_Toc17444"/>
      <w:bookmarkStart w:id="123" w:name="_Toc12290"/>
      <w:bookmarkStart w:id="124" w:name="_Toc29065"/>
      <w:bookmarkStart w:id="125" w:name="_Toc15474"/>
      <w:bookmarkStart w:id="126" w:name="_Toc12364"/>
      <w:bookmarkStart w:id="127" w:name="_Toc411"/>
      <w:bookmarkEnd w:id="113"/>
      <w:r>
        <w:rPr>
          <w:rFonts w:ascii="楷体" w:eastAsia="楷体" w:hAnsi="楷体" w:cs="楷体" w:hint="eastAsia"/>
          <w:sz w:val="32"/>
          <w:szCs w:val="32"/>
        </w:rPr>
        <w:t>（二）生产质量管理关键控制</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ascii="楷体" w:eastAsia="楷体" w:hAnsi="楷体" w:cs="楷体" w:hint="eastAsia"/>
          <w:sz w:val="32"/>
          <w:szCs w:val="32"/>
        </w:rPr>
        <w:t>措施</w:t>
      </w:r>
    </w:p>
    <w:tbl>
      <w:tblPr>
        <w:tblStyle w:val="a5"/>
        <w:tblW w:w="8425" w:type="dxa"/>
        <w:jc w:val="center"/>
        <w:tblLook w:val="04A0" w:firstRow="1" w:lastRow="0" w:firstColumn="1" w:lastColumn="0" w:noHBand="0" w:noVBand="1"/>
      </w:tblPr>
      <w:tblGrid>
        <w:gridCol w:w="875"/>
        <w:gridCol w:w="1825"/>
        <w:gridCol w:w="5725"/>
      </w:tblGrid>
      <w:tr w:rsidR="002F32D3" w14:paraId="62A782B4" w14:textId="77777777">
        <w:trPr>
          <w:trHeight w:val="552"/>
          <w:jc w:val="center"/>
        </w:trPr>
        <w:tc>
          <w:tcPr>
            <w:tcW w:w="875" w:type="dxa"/>
            <w:vAlign w:val="center"/>
          </w:tcPr>
          <w:p w14:paraId="2B73EE3D" w14:textId="77777777" w:rsidR="002F32D3" w:rsidRDefault="00753E37">
            <w:pPr>
              <w:autoSpaceDE w:val="0"/>
              <w:autoSpaceDN w:val="0"/>
              <w:spacing w:line="360" w:lineRule="auto"/>
              <w:jc w:val="center"/>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1825" w:type="dxa"/>
            <w:vAlign w:val="center"/>
          </w:tcPr>
          <w:p w14:paraId="19875A14" w14:textId="77777777" w:rsidR="002F32D3" w:rsidRDefault="00753E37">
            <w:pPr>
              <w:autoSpaceDE w:val="0"/>
              <w:autoSpaceDN w:val="0"/>
              <w:spacing w:line="360" w:lineRule="auto"/>
              <w:ind w:right="64"/>
              <w:jc w:val="center"/>
              <w:rPr>
                <w:rFonts w:ascii="仿宋_GB2312" w:eastAsia="仿宋_GB2312" w:hAnsi="仿宋_GB2312" w:cs="仿宋_GB2312"/>
                <w:b/>
                <w:bCs/>
                <w:sz w:val="24"/>
              </w:rPr>
            </w:pPr>
            <w:r>
              <w:rPr>
                <w:rFonts w:ascii="仿宋_GB2312" w:eastAsia="仿宋_GB2312" w:hAnsi="仿宋_GB2312" w:cs="仿宋_GB2312" w:hint="eastAsia"/>
                <w:b/>
                <w:bCs/>
                <w:sz w:val="24"/>
              </w:rPr>
              <w:t>风险点</w:t>
            </w:r>
          </w:p>
        </w:tc>
        <w:tc>
          <w:tcPr>
            <w:tcW w:w="5725" w:type="dxa"/>
            <w:vAlign w:val="center"/>
          </w:tcPr>
          <w:p w14:paraId="7897626A" w14:textId="77777777" w:rsidR="002F32D3" w:rsidRDefault="00753E37">
            <w:pPr>
              <w:autoSpaceDE w:val="0"/>
              <w:autoSpaceDN w:val="0"/>
              <w:spacing w:line="360" w:lineRule="auto"/>
              <w:ind w:right="64"/>
              <w:jc w:val="center"/>
              <w:rPr>
                <w:rFonts w:ascii="仿宋_GB2312" w:eastAsia="仿宋_GB2312" w:hAnsi="仿宋_GB2312" w:cs="仿宋_GB2312"/>
                <w:b/>
                <w:bCs/>
                <w:sz w:val="24"/>
              </w:rPr>
            </w:pPr>
            <w:r>
              <w:rPr>
                <w:rFonts w:ascii="仿宋_GB2312" w:eastAsia="仿宋_GB2312" w:hAnsi="仿宋_GB2312" w:cs="仿宋_GB2312" w:hint="eastAsia"/>
                <w:b/>
                <w:bCs/>
                <w:sz w:val="24"/>
              </w:rPr>
              <w:t>控制措施</w:t>
            </w:r>
          </w:p>
        </w:tc>
      </w:tr>
      <w:tr w:rsidR="002F32D3" w14:paraId="7864DD93" w14:textId="77777777">
        <w:trPr>
          <w:jc w:val="center"/>
        </w:trPr>
        <w:tc>
          <w:tcPr>
            <w:tcW w:w="875" w:type="dxa"/>
            <w:vAlign w:val="center"/>
          </w:tcPr>
          <w:p w14:paraId="4F4E1984" w14:textId="77777777" w:rsidR="002F32D3" w:rsidRDefault="002F32D3">
            <w:pPr>
              <w:numPr>
                <w:ilvl w:val="0"/>
                <w:numId w:val="5"/>
              </w:numPr>
              <w:autoSpaceDE w:val="0"/>
              <w:autoSpaceDN w:val="0"/>
              <w:spacing w:line="360" w:lineRule="auto"/>
              <w:ind w:firstLine="0"/>
              <w:jc w:val="center"/>
              <w:rPr>
                <w:rFonts w:ascii="仿宋" w:eastAsia="仿宋" w:hAnsi="仿宋" w:cs="仿宋"/>
                <w:sz w:val="24"/>
              </w:rPr>
            </w:pPr>
          </w:p>
        </w:tc>
        <w:tc>
          <w:tcPr>
            <w:tcW w:w="1825" w:type="dxa"/>
            <w:vAlign w:val="center"/>
          </w:tcPr>
          <w:p w14:paraId="0235CCE6"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人员</w:t>
            </w:r>
          </w:p>
        </w:tc>
        <w:tc>
          <w:tcPr>
            <w:tcW w:w="5725" w:type="dxa"/>
            <w:vAlign w:val="center"/>
          </w:tcPr>
          <w:p w14:paraId="4E1BAF17"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1 \* GB3 \* MERGEFORMAT </w:instrText>
            </w:r>
            <w:r>
              <w:rPr>
                <w:rFonts w:ascii="仿宋" w:eastAsia="仿宋" w:hAnsi="仿宋" w:cs="仿宋" w:hint="eastAsia"/>
                <w:sz w:val="24"/>
              </w:rPr>
              <w:fldChar w:fldCharType="separate"/>
            </w:r>
            <w:r>
              <w:rPr>
                <w:rFonts w:ascii="仿宋" w:eastAsia="仿宋" w:hAnsi="仿宋" w:cs="仿宋" w:hint="eastAsia"/>
                <w:sz w:val="24"/>
              </w:rPr>
              <w:t>①</w:t>
            </w:r>
            <w:r>
              <w:rPr>
                <w:rFonts w:ascii="仿宋" w:eastAsia="仿宋" w:hAnsi="仿宋" w:cs="仿宋" w:hint="eastAsia"/>
                <w:sz w:val="24"/>
              </w:rPr>
              <w:fldChar w:fldCharType="end"/>
            </w:r>
            <w:r>
              <w:rPr>
                <w:rFonts w:ascii="仿宋" w:eastAsia="仿宋" w:hAnsi="仿宋" w:cs="仿宋" w:hint="eastAsia"/>
                <w:sz w:val="24"/>
              </w:rPr>
              <w:t>企业应配备软件架构师、算法工程师、软件开发工程师、软件测试工程师、UI工程师等技术人员；</w:t>
            </w:r>
          </w:p>
          <w:p w14:paraId="7F13BD45"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2 \* GB3 \* MERGEFORMAT </w:instrText>
            </w:r>
            <w:r>
              <w:rPr>
                <w:rFonts w:ascii="仿宋" w:eastAsia="仿宋" w:hAnsi="仿宋" w:cs="仿宋" w:hint="eastAsia"/>
                <w:sz w:val="24"/>
              </w:rPr>
              <w:fldChar w:fldCharType="separate"/>
            </w:r>
            <w:r>
              <w:rPr>
                <w:rFonts w:ascii="仿宋" w:eastAsia="仿宋" w:hAnsi="仿宋" w:cs="仿宋" w:hint="eastAsia"/>
                <w:sz w:val="24"/>
              </w:rPr>
              <w:t>②</w:t>
            </w:r>
            <w:r>
              <w:rPr>
                <w:rFonts w:ascii="仿宋" w:eastAsia="仿宋" w:hAnsi="仿宋" w:cs="仿宋" w:hint="eastAsia"/>
                <w:sz w:val="24"/>
              </w:rPr>
              <w:fldChar w:fldCharType="end"/>
            </w:r>
            <w:r>
              <w:rPr>
                <w:rFonts w:ascii="仿宋" w:eastAsia="仿宋" w:hAnsi="仿宋" w:cs="仿宋" w:hint="eastAsia"/>
                <w:sz w:val="24"/>
              </w:rPr>
              <w:t>软件开发、测试、维护人员应当具备与岗位职责要求相适宜的专业知识、实践经验和工作能力，应当保证黑盒测试同一软件项的开发人员和测试人员不得互相兼任；</w:t>
            </w:r>
          </w:p>
          <w:p w14:paraId="5249E862"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3 \* GB3 \* MERGEFORMAT </w:instrText>
            </w:r>
            <w:r>
              <w:rPr>
                <w:rFonts w:ascii="仿宋" w:eastAsia="仿宋" w:hAnsi="仿宋" w:cs="仿宋" w:hint="eastAsia"/>
                <w:sz w:val="24"/>
              </w:rPr>
              <w:fldChar w:fldCharType="separate"/>
            </w:r>
            <w:r>
              <w:rPr>
                <w:rFonts w:ascii="仿宋" w:eastAsia="仿宋" w:hAnsi="仿宋" w:cs="仿宋" w:hint="eastAsia"/>
                <w:sz w:val="24"/>
              </w:rPr>
              <w:t>③</w:t>
            </w:r>
            <w:r>
              <w:rPr>
                <w:rFonts w:ascii="仿宋" w:eastAsia="仿宋" w:hAnsi="仿宋" w:cs="仿宋" w:hint="eastAsia"/>
                <w:sz w:val="24"/>
              </w:rPr>
              <w:fldChar w:fldCharType="end"/>
            </w:r>
            <w:r>
              <w:rPr>
                <w:rFonts w:ascii="仿宋" w:eastAsia="仿宋" w:hAnsi="仿宋" w:cs="仿宋" w:hint="eastAsia"/>
                <w:sz w:val="24"/>
              </w:rPr>
              <w:t>企业应在设计开发周期内关注团队人员的状态，建立人才储备；</w:t>
            </w:r>
          </w:p>
          <w:p w14:paraId="73B751D3"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4 \* GB3 \* MERGEFORMAT </w:instrText>
            </w:r>
            <w:r>
              <w:rPr>
                <w:rFonts w:ascii="仿宋" w:eastAsia="仿宋" w:hAnsi="仿宋" w:cs="仿宋" w:hint="eastAsia"/>
                <w:sz w:val="24"/>
              </w:rPr>
              <w:fldChar w:fldCharType="separate"/>
            </w:r>
            <w:r>
              <w:rPr>
                <w:rFonts w:ascii="仿宋" w:eastAsia="仿宋" w:hAnsi="仿宋" w:cs="仿宋" w:hint="eastAsia"/>
                <w:sz w:val="24"/>
              </w:rPr>
              <w:t>④</w:t>
            </w:r>
            <w:r>
              <w:rPr>
                <w:rFonts w:ascii="仿宋" w:eastAsia="仿宋" w:hAnsi="仿宋" w:cs="仿宋" w:hint="eastAsia"/>
                <w:sz w:val="24"/>
              </w:rPr>
              <w:fldChar w:fldCharType="end"/>
            </w:r>
            <w:r>
              <w:rPr>
                <w:rFonts w:ascii="仿宋" w:eastAsia="仿宋" w:hAnsi="仿宋" w:cs="仿宋" w:hint="eastAsia"/>
                <w:sz w:val="24"/>
              </w:rPr>
              <w:t>企业应对软件开发人员和测试人员进行需求规范、设计规范、使用说明书、标准等的培训。</w:t>
            </w:r>
          </w:p>
        </w:tc>
      </w:tr>
      <w:tr w:rsidR="002F32D3" w14:paraId="3FDD57BD" w14:textId="77777777">
        <w:trPr>
          <w:jc w:val="center"/>
        </w:trPr>
        <w:tc>
          <w:tcPr>
            <w:tcW w:w="875" w:type="dxa"/>
            <w:vAlign w:val="center"/>
          </w:tcPr>
          <w:p w14:paraId="03677FBF" w14:textId="77777777" w:rsidR="002F32D3" w:rsidRDefault="002F32D3">
            <w:pPr>
              <w:numPr>
                <w:ilvl w:val="0"/>
                <w:numId w:val="5"/>
              </w:numPr>
              <w:autoSpaceDE w:val="0"/>
              <w:autoSpaceDN w:val="0"/>
              <w:spacing w:line="360" w:lineRule="auto"/>
              <w:ind w:firstLine="0"/>
              <w:jc w:val="center"/>
              <w:rPr>
                <w:rFonts w:ascii="仿宋" w:eastAsia="仿宋" w:hAnsi="仿宋" w:cs="仿宋"/>
                <w:sz w:val="24"/>
              </w:rPr>
            </w:pPr>
          </w:p>
        </w:tc>
        <w:tc>
          <w:tcPr>
            <w:tcW w:w="1825" w:type="dxa"/>
            <w:vAlign w:val="center"/>
          </w:tcPr>
          <w:p w14:paraId="5BF73E35"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需求</w:t>
            </w:r>
          </w:p>
        </w:tc>
        <w:tc>
          <w:tcPr>
            <w:tcW w:w="5725" w:type="dxa"/>
            <w:vAlign w:val="center"/>
          </w:tcPr>
          <w:p w14:paraId="106C9FE8"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对于项目中新增的个性化需求，应主动和最终用户代表保持沟通，记录沟通结果；并将每一阶段的成果物及时和其确认。</w:t>
            </w:r>
          </w:p>
        </w:tc>
      </w:tr>
      <w:tr w:rsidR="002F32D3" w14:paraId="24EB7B26" w14:textId="77777777">
        <w:trPr>
          <w:jc w:val="center"/>
        </w:trPr>
        <w:tc>
          <w:tcPr>
            <w:tcW w:w="875" w:type="dxa"/>
            <w:vMerge w:val="restart"/>
            <w:vAlign w:val="center"/>
          </w:tcPr>
          <w:p w14:paraId="179947B5" w14:textId="77777777" w:rsidR="002F32D3" w:rsidRDefault="002F32D3">
            <w:pPr>
              <w:numPr>
                <w:ilvl w:val="0"/>
                <w:numId w:val="5"/>
              </w:numPr>
              <w:autoSpaceDE w:val="0"/>
              <w:autoSpaceDN w:val="0"/>
              <w:spacing w:line="360" w:lineRule="auto"/>
              <w:ind w:firstLine="0"/>
              <w:jc w:val="center"/>
              <w:rPr>
                <w:rFonts w:ascii="仿宋" w:eastAsia="仿宋" w:hAnsi="仿宋" w:cs="仿宋"/>
                <w:sz w:val="24"/>
              </w:rPr>
            </w:pPr>
          </w:p>
        </w:tc>
        <w:tc>
          <w:tcPr>
            <w:tcW w:w="1825" w:type="dxa"/>
            <w:vMerge w:val="restart"/>
            <w:vAlign w:val="center"/>
          </w:tcPr>
          <w:p w14:paraId="4BA682D2"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开发环境</w:t>
            </w:r>
          </w:p>
        </w:tc>
        <w:tc>
          <w:tcPr>
            <w:tcW w:w="5725" w:type="dxa"/>
            <w:vAlign w:val="center"/>
          </w:tcPr>
          <w:p w14:paraId="1355F0F9"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①企业应配备软件开发测试环境，建立软件开发测试环境维护文件及相应的维护记录（定期验证、更新升级、病毒查杀记录等）；</w:t>
            </w:r>
          </w:p>
          <w:p w14:paraId="0B7FB412"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2 \* GB3 \* MERGEFORMAT </w:instrText>
            </w:r>
            <w:r>
              <w:rPr>
                <w:rFonts w:ascii="仿宋" w:eastAsia="仿宋" w:hAnsi="仿宋" w:cs="仿宋" w:hint="eastAsia"/>
                <w:sz w:val="24"/>
              </w:rPr>
              <w:fldChar w:fldCharType="separate"/>
            </w:r>
            <w:r>
              <w:rPr>
                <w:rFonts w:ascii="仿宋" w:eastAsia="仿宋" w:hAnsi="仿宋" w:cs="仿宋" w:hint="eastAsia"/>
                <w:sz w:val="24"/>
              </w:rPr>
              <w:t>②</w:t>
            </w:r>
            <w:r>
              <w:rPr>
                <w:rFonts w:ascii="仿宋" w:eastAsia="仿宋" w:hAnsi="仿宋" w:cs="仿宋" w:hint="eastAsia"/>
                <w:sz w:val="24"/>
              </w:rPr>
              <w:fldChar w:fldCharType="end"/>
            </w:r>
            <w:r>
              <w:rPr>
                <w:rFonts w:ascii="仿宋" w:eastAsia="仿宋" w:hAnsi="仿宋" w:cs="仿宋" w:hint="eastAsia"/>
                <w:sz w:val="24"/>
              </w:rPr>
              <w:t>企业应制定计算机软件确认程序文件，依据文件要求对软件开发工具（如配置管理工具和自研或第三方软件测试工具等）、安装在检测设备中的计算机软件进行确认，当软件更改、受计算机病毒侵害等情况发生时，企业应进行再确认；</w:t>
            </w:r>
          </w:p>
          <w:p w14:paraId="46E1ED94"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3 \* GB3 \* MERGEFORMAT </w:instrText>
            </w:r>
            <w:r>
              <w:rPr>
                <w:rFonts w:ascii="仿宋" w:eastAsia="仿宋" w:hAnsi="仿宋" w:cs="仿宋" w:hint="eastAsia"/>
                <w:sz w:val="24"/>
              </w:rPr>
              <w:fldChar w:fldCharType="separate"/>
            </w:r>
            <w:r>
              <w:rPr>
                <w:rFonts w:ascii="仿宋" w:eastAsia="仿宋" w:hAnsi="仿宋" w:cs="仿宋" w:hint="eastAsia"/>
                <w:sz w:val="24"/>
              </w:rPr>
              <w:t>③</w:t>
            </w:r>
            <w:r>
              <w:rPr>
                <w:rFonts w:ascii="仿宋" w:eastAsia="仿宋" w:hAnsi="仿宋" w:cs="仿宋" w:hint="eastAsia"/>
                <w:sz w:val="24"/>
              </w:rPr>
              <w:fldChar w:fldCharType="end"/>
            </w:r>
            <w:r>
              <w:rPr>
                <w:rFonts w:ascii="仿宋" w:eastAsia="仿宋" w:hAnsi="仿宋" w:cs="仿宋" w:hint="eastAsia"/>
                <w:sz w:val="24"/>
              </w:rPr>
              <w:t>软件研发负责人或软件架构师应对开发团队使用的工具及版本等进行统一规范、管理，并进行确认。</w:t>
            </w:r>
          </w:p>
        </w:tc>
      </w:tr>
      <w:tr w:rsidR="002F32D3" w14:paraId="7F8AA62B" w14:textId="77777777">
        <w:trPr>
          <w:jc w:val="center"/>
        </w:trPr>
        <w:tc>
          <w:tcPr>
            <w:tcW w:w="875" w:type="dxa"/>
            <w:vAlign w:val="center"/>
          </w:tcPr>
          <w:p w14:paraId="7DD70008" w14:textId="77777777" w:rsidR="002F32D3" w:rsidRDefault="002F32D3">
            <w:pPr>
              <w:numPr>
                <w:ilvl w:val="0"/>
                <w:numId w:val="5"/>
              </w:numPr>
              <w:autoSpaceDE w:val="0"/>
              <w:autoSpaceDN w:val="0"/>
              <w:spacing w:line="360" w:lineRule="auto"/>
              <w:ind w:firstLine="0"/>
              <w:jc w:val="center"/>
              <w:rPr>
                <w:rFonts w:ascii="仿宋" w:eastAsia="仿宋" w:hAnsi="仿宋" w:cs="仿宋"/>
                <w:sz w:val="24"/>
              </w:rPr>
            </w:pPr>
          </w:p>
        </w:tc>
        <w:tc>
          <w:tcPr>
            <w:tcW w:w="1825" w:type="dxa"/>
            <w:vAlign w:val="center"/>
          </w:tcPr>
          <w:p w14:paraId="344AAD4A"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软件设计</w:t>
            </w:r>
          </w:p>
        </w:tc>
        <w:tc>
          <w:tcPr>
            <w:tcW w:w="5725" w:type="dxa"/>
            <w:vAlign w:val="center"/>
          </w:tcPr>
          <w:p w14:paraId="3411A2AA"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①企业应建立软件设计开发程序文件；</w:t>
            </w:r>
          </w:p>
          <w:p w14:paraId="2DE5B5B8"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lastRenderedPageBreak/>
              <w:fldChar w:fldCharType="begin"/>
            </w:r>
            <w:r>
              <w:rPr>
                <w:rFonts w:ascii="仿宋" w:eastAsia="仿宋" w:hAnsi="仿宋" w:cs="仿宋" w:hint="eastAsia"/>
                <w:sz w:val="24"/>
              </w:rPr>
              <w:instrText xml:space="preserve"> = 2 \* GB3 \* MERGEFORMAT </w:instrText>
            </w:r>
            <w:r>
              <w:rPr>
                <w:rFonts w:ascii="仿宋" w:eastAsia="仿宋" w:hAnsi="仿宋" w:cs="仿宋" w:hint="eastAsia"/>
                <w:sz w:val="24"/>
              </w:rPr>
              <w:fldChar w:fldCharType="separate"/>
            </w:r>
            <w:r>
              <w:rPr>
                <w:rFonts w:ascii="仿宋" w:eastAsia="仿宋" w:hAnsi="仿宋" w:cs="仿宋" w:hint="eastAsia"/>
                <w:sz w:val="24"/>
              </w:rPr>
              <w:t>②</w:t>
            </w:r>
            <w:r>
              <w:rPr>
                <w:rFonts w:ascii="仿宋" w:eastAsia="仿宋" w:hAnsi="仿宋" w:cs="仿宋" w:hint="eastAsia"/>
                <w:sz w:val="24"/>
              </w:rPr>
              <w:fldChar w:fldCharType="end"/>
            </w:r>
            <w:r>
              <w:rPr>
                <w:rFonts w:ascii="仿宋" w:eastAsia="仿宋" w:hAnsi="仿宋" w:cs="仿宋" w:hint="eastAsia"/>
                <w:sz w:val="24"/>
              </w:rPr>
              <w:t>企业应依据软件设计开发程序文件的要求进行软件策划、需求分析及设计；</w:t>
            </w:r>
          </w:p>
          <w:p w14:paraId="63245CE6"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3 \* GB3 \* MERGEFORMAT </w:instrText>
            </w:r>
            <w:r>
              <w:rPr>
                <w:rFonts w:ascii="仿宋" w:eastAsia="仿宋" w:hAnsi="仿宋" w:cs="仿宋" w:hint="eastAsia"/>
                <w:sz w:val="24"/>
              </w:rPr>
              <w:fldChar w:fldCharType="separate"/>
            </w:r>
            <w:r>
              <w:rPr>
                <w:rFonts w:ascii="仿宋" w:eastAsia="仿宋" w:hAnsi="仿宋" w:cs="仿宋" w:hint="eastAsia"/>
                <w:sz w:val="24"/>
              </w:rPr>
              <w:t>③</w:t>
            </w:r>
            <w:r>
              <w:rPr>
                <w:rFonts w:ascii="仿宋" w:eastAsia="仿宋" w:hAnsi="仿宋" w:cs="仿宋" w:hint="eastAsia"/>
                <w:sz w:val="24"/>
              </w:rPr>
              <w:fldChar w:fldCharType="end"/>
            </w:r>
            <w:r>
              <w:rPr>
                <w:rFonts w:ascii="仿宋" w:eastAsia="仿宋" w:hAnsi="仿宋" w:cs="仿宋" w:hint="eastAsia"/>
                <w:sz w:val="24"/>
              </w:rPr>
              <w:t>软件设计开发输入的用户需求、自身需求、预期用途的功能、性能、安全要求、法规/标准要求、风险管理要求等输入信息应充分；</w:t>
            </w:r>
          </w:p>
          <w:p w14:paraId="0CFC5933"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4 \* GB3 \* MERGEFORMAT </w:instrText>
            </w:r>
            <w:r>
              <w:rPr>
                <w:rFonts w:ascii="仿宋" w:eastAsia="仿宋" w:hAnsi="仿宋" w:cs="仿宋" w:hint="eastAsia"/>
                <w:sz w:val="24"/>
              </w:rPr>
              <w:fldChar w:fldCharType="separate"/>
            </w:r>
            <w:r>
              <w:rPr>
                <w:rFonts w:ascii="仿宋" w:eastAsia="仿宋" w:hAnsi="仿宋" w:cs="仿宋" w:hint="eastAsia"/>
                <w:sz w:val="24"/>
              </w:rPr>
              <w:t>④</w:t>
            </w:r>
            <w:r>
              <w:rPr>
                <w:rFonts w:ascii="仿宋" w:eastAsia="仿宋" w:hAnsi="仿宋" w:cs="仿宋" w:hint="eastAsia"/>
                <w:sz w:val="24"/>
              </w:rPr>
              <w:fldChar w:fldCharType="end"/>
            </w:r>
            <w:r>
              <w:rPr>
                <w:rFonts w:ascii="仿宋" w:eastAsia="仿宋" w:hAnsi="仿宋" w:cs="仿宋" w:hint="eastAsia"/>
                <w:sz w:val="24"/>
              </w:rPr>
              <w:t>软件设计开发输出的技术要求应满足输入的国家和行业标准等要求；</w:t>
            </w:r>
          </w:p>
          <w:p w14:paraId="3D3E8CB4"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sym w:font="Wingdings" w:char="F085"/>
            </w:r>
            <w:r>
              <w:rPr>
                <w:rFonts w:ascii="仿宋" w:eastAsia="仿宋" w:hAnsi="仿宋" w:cs="仿宋" w:hint="eastAsia"/>
                <w:sz w:val="24"/>
              </w:rPr>
              <w:t>软件设计变更应进行识别、提出、验证和评审等，对于重大增强类软件更新，影响到医疗器械安全性或有效性的增强类更新，发布版本变更的，应进行注册变更；</w:t>
            </w:r>
          </w:p>
          <w:p w14:paraId="0C443A81"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sym w:font="Wingdings" w:char="F086"/>
            </w:r>
            <w:r>
              <w:rPr>
                <w:rFonts w:ascii="仿宋" w:eastAsia="仿宋" w:hAnsi="仿宋" w:cs="仿宋" w:hint="eastAsia"/>
                <w:sz w:val="24"/>
              </w:rPr>
              <w:t>软件开发过程应建立可追溯性机制，形成可追溯性记录，如从测试追溯到源代码，从源代码追溯到设计，从设计追溯到需求；</w:t>
            </w:r>
          </w:p>
          <w:p w14:paraId="2F1FB25E"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⑦企业应对现成软件（尤其是未知来源软件）的风险进行评估，并采取安全措施确保软件安全。</w:t>
            </w:r>
          </w:p>
        </w:tc>
      </w:tr>
      <w:tr w:rsidR="002F32D3" w14:paraId="064698FC" w14:textId="77777777">
        <w:trPr>
          <w:jc w:val="center"/>
        </w:trPr>
        <w:tc>
          <w:tcPr>
            <w:tcW w:w="875" w:type="dxa"/>
            <w:vAlign w:val="center"/>
          </w:tcPr>
          <w:p w14:paraId="44E41D33" w14:textId="77777777" w:rsidR="002F32D3" w:rsidRDefault="002F32D3">
            <w:pPr>
              <w:numPr>
                <w:ilvl w:val="0"/>
                <w:numId w:val="5"/>
              </w:numPr>
              <w:autoSpaceDE w:val="0"/>
              <w:autoSpaceDN w:val="0"/>
              <w:spacing w:line="360" w:lineRule="auto"/>
              <w:ind w:firstLine="0"/>
              <w:jc w:val="center"/>
              <w:rPr>
                <w:rFonts w:ascii="仿宋" w:eastAsia="仿宋" w:hAnsi="仿宋" w:cs="仿宋"/>
                <w:sz w:val="24"/>
              </w:rPr>
            </w:pPr>
          </w:p>
        </w:tc>
        <w:tc>
          <w:tcPr>
            <w:tcW w:w="1825" w:type="dxa"/>
            <w:vAlign w:val="center"/>
          </w:tcPr>
          <w:p w14:paraId="2D9C5FCA"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软件验证</w:t>
            </w:r>
          </w:p>
        </w:tc>
        <w:tc>
          <w:tcPr>
            <w:tcW w:w="5725" w:type="dxa"/>
            <w:vAlign w:val="center"/>
          </w:tcPr>
          <w:p w14:paraId="5D10DB9F"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①企业应建立软件测试计划（单元测试、集成测试、系统测试、网络安全测试），并对其进行评审；</w:t>
            </w:r>
          </w:p>
          <w:p w14:paraId="135CC380"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2 \* GB3 \* MERGEFORMAT </w:instrText>
            </w:r>
            <w:r>
              <w:rPr>
                <w:rFonts w:ascii="仿宋" w:eastAsia="仿宋" w:hAnsi="仿宋" w:cs="仿宋" w:hint="eastAsia"/>
                <w:sz w:val="24"/>
              </w:rPr>
              <w:fldChar w:fldCharType="separate"/>
            </w:r>
            <w:r>
              <w:rPr>
                <w:rFonts w:ascii="仿宋" w:eastAsia="仿宋" w:hAnsi="仿宋" w:cs="仿宋" w:hint="eastAsia"/>
                <w:sz w:val="24"/>
              </w:rPr>
              <w:t>②</w:t>
            </w:r>
            <w:r>
              <w:rPr>
                <w:rFonts w:ascii="仿宋" w:eastAsia="仿宋" w:hAnsi="仿宋" w:cs="仿宋" w:hint="eastAsia"/>
                <w:sz w:val="24"/>
              </w:rPr>
              <w:fldChar w:fldCharType="end"/>
            </w:r>
            <w:r>
              <w:rPr>
                <w:rFonts w:ascii="仿宋" w:eastAsia="仿宋" w:hAnsi="仿宋" w:cs="仿宋" w:hint="eastAsia"/>
                <w:sz w:val="24"/>
              </w:rPr>
              <w:t>企业应制定软件测试用例，并对其进行评审，检查测试用例覆盖情况；</w:t>
            </w:r>
          </w:p>
          <w:p w14:paraId="6191F6A2"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3 \* GB3 \* MERGEFORMAT </w:instrText>
            </w:r>
            <w:r>
              <w:rPr>
                <w:rFonts w:ascii="仿宋" w:eastAsia="仿宋" w:hAnsi="仿宋" w:cs="仿宋" w:hint="eastAsia"/>
                <w:sz w:val="24"/>
              </w:rPr>
              <w:fldChar w:fldCharType="separate"/>
            </w:r>
            <w:r>
              <w:rPr>
                <w:rFonts w:ascii="仿宋" w:eastAsia="仿宋" w:hAnsi="仿宋" w:cs="仿宋" w:hint="eastAsia"/>
                <w:sz w:val="24"/>
              </w:rPr>
              <w:t>③</w:t>
            </w:r>
            <w:r>
              <w:rPr>
                <w:rFonts w:ascii="仿宋" w:eastAsia="仿宋" w:hAnsi="仿宋" w:cs="仿宋" w:hint="eastAsia"/>
                <w:sz w:val="24"/>
              </w:rPr>
              <w:fldChar w:fldCharType="end"/>
            </w:r>
            <w:r>
              <w:rPr>
                <w:rFonts w:ascii="仿宋" w:eastAsia="仿宋" w:hAnsi="仿宋" w:cs="仿宋" w:hint="eastAsia"/>
                <w:sz w:val="24"/>
              </w:rPr>
              <w:t>企业应选择成熟稳定可靠的测试工具；</w:t>
            </w:r>
          </w:p>
          <w:p w14:paraId="5010000A"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4 \* GB3 \* MERGEFORMAT </w:instrText>
            </w:r>
            <w:r>
              <w:rPr>
                <w:rFonts w:ascii="仿宋" w:eastAsia="仿宋" w:hAnsi="仿宋" w:cs="仿宋" w:hint="eastAsia"/>
                <w:sz w:val="24"/>
              </w:rPr>
              <w:fldChar w:fldCharType="separate"/>
            </w:r>
            <w:r>
              <w:rPr>
                <w:rFonts w:ascii="仿宋" w:eastAsia="仿宋" w:hAnsi="仿宋" w:cs="仿宋" w:hint="eastAsia"/>
                <w:sz w:val="24"/>
              </w:rPr>
              <w:t>④</w:t>
            </w:r>
            <w:r>
              <w:rPr>
                <w:rFonts w:ascii="仿宋" w:eastAsia="仿宋" w:hAnsi="仿宋" w:cs="仿宋" w:hint="eastAsia"/>
                <w:sz w:val="24"/>
              </w:rPr>
              <w:fldChar w:fldCharType="end"/>
            </w:r>
            <w:r>
              <w:rPr>
                <w:rFonts w:ascii="仿宋" w:eastAsia="仿宋" w:hAnsi="仿宋" w:cs="仿宋" w:hint="eastAsia"/>
                <w:sz w:val="24"/>
              </w:rPr>
              <w:t>企业应依据软件测试用例对软件进行单元测试、集成测试、系统测试、网络安全测试，测试记录、测试报告、自检记录、自检报告应满足真实、完整性要求；</w:t>
            </w:r>
          </w:p>
          <w:p w14:paraId="6FE94649"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sym w:font="Wingdings" w:char="F085"/>
            </w:r>
            <w:r>
              <w:rPr>
                <w:rFonts w:ascii="仿宋" w:eastAsia="仿宋" w:hAnsi="仿宋" w:cs="仿宋" w:hint="eastAsia"/>
                <w:sz w:val="24"/>
              </w:rPr>
              <w:t>软件标识应满足可追溯性要求，如软件名称、规格型号、完整版本、发布版本、HASH值等。</w:t>
            </w:r>
          </w:p>
        </w:tc>
      </w:tr>
      <w:tr w:rsidR="002F32D3" w14:paraId="17F487A6" w14:textId="77777777">
        <w:trPr>
          <w:jc w:val="center"/>
        </w:trPr>
        <w:tc>
          <w:tcPr>
            <w:tcW w:w="875" w:type="dxa"/>
            <w:vAlign w:val="center"/>
          </w:tcPr>
          <w:p w14:paraId="49B1FC60" w14:textId="77777777" w:rsidR="002F32D3" w:rsidRDefault="002F32D3">
            <w:pPr>
              <w:numPr>
                <w:ilvl w:val="0"/>
                <w:numId w:val="5"/>
              </w:numPr>
              <w:autoSpaceDE w:val="0"/>
              <w:autoSpaceDN w:val="0"/>
              <w:spacing w:line="360" w:lineRule="auto"/>
              <w:ind w:firstLine="0"/>
              <w:jc w:val="center"/>
              <w:rPr>
                <w:rFonts w:ascii="仿宋" w:eastAsia="仿宋" w:hAnsi="仿宋" w:cs="仿宋"/>
                <w:sz w:val="24"/>
              </w:rPr>
            </w:pPr>
          </w:p>
        </w:tc>
        <w:tc>
          <w:tcPr>
            <w:tcW w:w="1825" w:type="dxa"/>
            <w:vAlign w:val="center"/>
          </w:tcPr>
          <w:p w14:paraId="166FDBE2"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数据安全</w:t>
            </w:r>
          </w:p>
        </w:tc>
        <w:tc>
          <w:tcPr>
            <w:tcW w:w="5725" w:type="dxa"/>
            <w:vAlign w:val="center"/>
          </w:tcPr>
          <w:p w14:paraId="614A87B2"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①企业应对软件系统电子接口（网络接口、电子数据交换接口）的访问、防护等进行控制，防止非预期的使用；</w:t>
            </w:r>
          </w:p>
          <w:p w14:paraId="3C220B1A"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lastRenderedPageBreak/>
              <w:fldChar w:fldCharType="begin"/>
            </w:r>
            <w:r>
              <w:rPr>
                <w:rFonts w:ascii="仿宋" w:eastAsia="仿宋" w:hAnsi="仿宋" w:cs="仿宋" w:hint="eastAsia"/>
                <w:sz w:val="24"/>
              </w:rPr>
              <w:instrText xml:space="preserve"> = 2 \* GB3 \* MERGEFORMAT </w:instrText>
            </w:r>
            <w:r>
              <w:rPr>
                <w:rFonts w:ascii="仿宋" w:eastAsia="仿宋" w:hAnsi="仿宋" w:cs="仿宋" w:hint="eastAsia"/>
                <w:sz w:val="24"/>
              </w:rPr>
              <w:fldChar w:fldCharType="separate"/>
            </w:r>
            <w:r>
              <w:rPr>
                <w:rFonts w:ascii="仿宋" w:eastAsia="仿宋" w:hAnsi="仿宋" w:cs="仿宋" w:hint="eastAsia"/>
                <w:sz w:val="24"/>
              </w:rPr>
              <w:t>②</w:t>
            </w:r>
            <w:r>
              <w:rPr>
                <w:rFonts w:ascii="仿宋" w:eastAsia="仿宋" w:hAnsi="仿宋" w:cs="仿宋" w:hint="eastAsia"/>
                <w:sz w:val="24"/>
              </w:rPr>
              <w:fldChar w:fldCharType="end"/>
            </w:r>
            <w:r>
              <w:rPr>
                <w:rFonts w:ascii="仿宋" w:eastAsia="仿宋" w:hAnsi="仿宋" w:cs="仿宋" w:hint="eastAsia"/>
                <w:sz w:val="24"/>
              </w:rPr>
              <w:t>企业应对软件网络安全威胁进行识别、保护、探测、响应、恢复等，如采用防火墙、堡垒机、漏洞扫描系统、终端用户管理系统等防护措施，网络安全具体参照《医疗器械网络安全注册审查指导原则》；</w:t>
            </w:r>
          </w:p>
          <w:p w14:paraId="391A6E9F"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3 \* GB3 \* MERGEFORMAT </w:instrText>
            </w:r>
            <w:r>
              <w:rPr>
                <w:rFonts w:ascii="仿宋" w:eastAsia="仿宋" w:hAnsi="仿宋" w:cs="仿宋" w:hint="eastAsia"/>
                <w:sz w:val="24"/>
              </w:rPr>
              <w:fldChar w:fldCharType="separate"/>
            </w:r>
            <w:r>
              <w:rPr>
                <w:rFonts w:ascii="仿宋" w:eastAsia="仿宋" w:hAnsi="仿宋" w:cs="仿宋" w:hint="eastAsia"/>
                <w:sz w:val="24"/>
              </w:rPr>
              <w:t>③</w:t>
            </w:r>
            <w:r>
              <w:rPr>
                <w:rFonts w:ascii="仿宋" w:eastAsia="仿宋" w:hAnsi="仿宋" w:cs="仿宋" w:hint="eastAsia"/>
                <w:sz w:val="24"/>
              </w:rPr>
              <w:fldChar w:fldCharType="end"/>
            </w:r>
            <w:r>
              <w:rPr>
                <w:rFonts w:ascii="仿宋" w:eastAsia="仿宋" w:hAnsi="仿宋" w:cs="仿宋" w:hint="eastAsia"/>
                <w:sz w:val="24"/>
              </w:rPr>
              <w:t>企业应对软件系统漏洞进行扫描，如根据软件安全性级别进行网络安全漏洞自评或第三方漏洞评估检测，且两者不能使用同一工具进行漏洞扫描；</w:t>
            </w:r>
          </w:p>
          <w:p w14:paraId="375CD722"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4 \* GB3 \* MERGEFORMAT </w:instrText>
            </w:r>
            <w:r>
              <w:rPr>
                <w:rFonts w:ascii="仿宋" w:eastAsia="仿宋" w:hAnsi="仿宋" w:cs="仿宋" w:hint="eastAsia"/>
                <w:sz w:val="24"/>
              </w:rPr>
              <w:fldChar w:fldCharType="separate"/>
            </w:r>
            <w:r>
              <w:rPr>
                <w:rFonts w:ascii="仿宋" w:eastAsia="仿宋" w:hAnsi="仿宋" w:cs="仿宋" w:hint="eastAsia"/>
                <w:sz w:val="24"/>
              </w:rPr>
              <w:t>④</w:t>
            </w:r>
            <w:r>
              <w:rPr>
                <w:rFonts w:ascii="仿宋" w:eastAsia="仿宋" w:hAnsi="仿宋" w:cs="仿宋" w:hint="eastAsia"/>
                <w:sz w:val="24"/>
              </w:rPr>
              <w:fldChar w:fldCharType="end"/>
            </w:r>
            <w:r>
              <w:rPr>
                <w:rFonts w:ascii="仿宋" w:eastAsia="仿宋" w:hAnsi="仿宋" w:cs="仿宋" w:hint="eastAsia"/>
                <w:sz w:val="24"/>
              </w:rPr>
              <w:t>企业应对软件系统患者数据进行去标识化与匿名化处理，敏感信息如患者姓名、年龄、身份证号、手机号、照片等不直接在系统中明码完整显示；</w:t>
            </w:r>
          </w:p>
          <w:p w14:paraId="15FFFF08" w14:textId="77777777" w:rsidR="002F32D3" w:rsidRDefault="00753E37">
            <w:pPr>
              <w:autoSpaceDE w:val="0"/>
              <w:autoSpaceDN w:val="0"/>
              <w:spacing w:line="360" w:lineRule="auto"/>
              <w:rPr>
                <w:rFonts w:ascii="仿宋" w:eastAsia="仿宋" w:hAnsi="仿宋" w:cs="仿宋"/>
                <w:sz w:val="24"/>
              </w:rPr>
            </w:pPr>
            <w:r>
              <w:rPr>
                <w:rFonts w:ascii="宋体" w:hAnsi="宋体" w:hint="eastAsia"/>
                <w:sz w:val="24"/>
              </w:rPr>
              <w:t>⑤</w:t>
            </w:r>
            <w:r>
              <w:rPr>
                <w:rFonts w:ascii="仿宋" w:eastAsia="仿宋" w:hAnsi="仿宋" w:cs="仿宋" w:hint="eastAsia"/>
                <w:sz w:val="24"/>
              </w:rPr>
              <w:t>企业应对软件系统重要数据进行灾备，灾备方案设计合理，如异地增量备份，便于数据的备份与恢复等。</w:t>
            </w:r>
          </w:p>
        </w:tc>
      </w:tr>
      <w:tr w:rsidR="002F32D3" w14:paraId="6E92087D" w14:textId="77777777">
        <w:trPr>
          <w:jc w:val="center"/>
        </w:trPr>
        <w:tc>
          <w:tcPr>
            <w:tcW w:w="875" w:type="dxa"/>
            <w:vAlign w:val="center"/>
          </w:tcPr>
          <w:p w14:paraId="6DDA55C8" w14:textId="77777777" w:rsidR="002F32D3" w:rsidRDefault="002F32D3">
            <w:pPr>
              <w:numPr>
                <w:ilvl w:val="0"/>
                <w:numId w:val="5"/>
              </w:numPr>
              <w:autoSpaceDE w:val="0"/>
              <w:autoSpaceDN w:val="0"/>
              <w:spacing w:line="360" w:lineRule="auto"/>
              <w:ind w:firstLine="0"/>
              <w:jc w:val="center"/>
              <w:rPr>
                <w:rFonts w:ascii="仿宋" w:eastAsia="仿宋" w:hAnsi="仿宋" w:cs="仿宋"/>
                <w:sz w:val="24"/>
              </w:rPr>
            </w:pPr>
          </w:p>
        </w:tc>
        <w:tc>
          <w:tcPr>
            <w:tcW w:w="1825" w:type="dxa"/>
            <w:vAlign w:val="center"/>
          </w:tcPr>
          <w:p w14:paraId="3ECAABFE"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配置管理</w:t>
            </w:r>
          </w:p>
        </w:tc>
        <w:tc>
          <w:tcPr>
            <w:tcW w:w="5725" w:type="dxa"/>
            <w:vAlign w:val="center"/>
          </w:tcPr>
          <w:p w14:paraId="7FA3BD35"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①企业应建立软件配置管理程序文件；</w:t>
            </w:r>
          </w:p>
          <w:p w14:paraId="619F812D"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②企业应依据配置管理程序文件要求对软件版本、源代码、文件、工具、现成软件等进行控制；</w:t>
            </w:r>
          </w:p>
          <w:p w14:paraId="18C5395F"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3 \* GB3 \* MERGEFORMAT </w:instrText>
            </w:r>
            <w:r>
              <w:rPr>
                <w:rFonts w:ascii="仿宋" w:eastAsia="仿宋" w:hAnsi="仿宋" w:cs="仿宋" w:hint="eastAsia"/>
                <w:sz w:val="24"/>
              </w:rPr>
              <w:fldChar w:fldCharType="separate"/>
            </w:r>
            <w:r>
              <w:rPr>
                <w:rFonts w:ascii="仿宋" w:eastAsia="仿宋" w:hAnsi="仿宋" w:cs="仿宋" w:hint="eastAsia"/>
                <w:sz w:val="24"/>
              </w:rPr>
              <w:t>③</w:t>
            </w:r>
            <w:r>
              <w:rPr>
                <w:rFonts w:ascii="仿宋" w:eastAsia="仿宋" w:hAnsi="仿宋" w:cs="仿宋" w:hint="eastAsia"/>
                <w:sz w:val="24"/>
              </w:rPr>
              <w:fldChar w:fldCharType="end"/>
            </w:r>
            <w:r>
              <w:rPr>
                <w:rFonts w:ascii="仿宋" w:eastAsia="仿宋" w:hAnsi="仿宋" w:cs="仿宋" w:hint="eastAsia"/>
                <w:sz w:val="24"/>
              </w:rPr>
              <w:t>企业应对软件配置项进行识别、标识，QA对配置项进行检查，记录检查结果；</w:t>
            </w:r>
          </w:p>
          <w:p w14:paraId="3EADC0CD"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4 \* GB3 \* MERGEFORMAT </w:instrText>
            </w:r>
            <w:r>
              <w:rPr>
                <w:rFonts w:ascii="仿宋" w:eastAsia="仿宋" w:hAnsi="仿宋" w:cs="仿宋" w:hint="eastAsia"/>
                <w:sz w:val="24"/>
              </w:rPr>
              <w:fldChar w:fldCharType="separate"/>
            </w:r>
            <w:r>
              <w:rPr>
                <w:rFonts w:ascii="仿宋" w:eastAsia="仿宋" w:hAnsi="仿宋" w:cs="仿宋" w:hint="eastAsia"/>
                <w:sz w:val="24"/>
              </w:rPr>
              <w:t>④</w:t>
            </w:r>
            <w:r>
              <w:rPr>
                <w:rFonts w:ascii="仿宋" w:eastAsia="仿宋" w:hAnsi="仿宋" w:cs="仿宋" w:hint="eastAsia"/>
                <w:sz w:val="24"/>
              </w:rPr>
              <w:fldChar w:fldCharType="end"/>
            </w:r>
            <w:r>
              <w:rPr>
                <w:rFonts w:ascii="仿宋" w:eastAsia="仿宋" w:hAnsi="仿宋" w:cs="仿宋" w:hint="eastAsia"/>
                <w:sz w:val="24"/>
              </w:rPr>
              <w:t>QA根据软件开发阶段检查配置状态，并对配置状态进行记录及更新；</w:t>
            </w:r>
          </w:p>
          <w:p w14:paraId="782C80C1"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⑤企业应对软件版本变更（涵盖软件、现成软件、网络安全的全部更新）进行控制，并保留变更记录、验证记录。</w:t>
            </w:r>
          </w:p>
        </w:tc>
      </w:tr>
      <w:tr w:rsidR="002F32D3" w14:paraId="1AB58311" w14:textId="77777777">
        <w:trPr>
          <w:jc w:val="center"/>
        </w:trPr>
        <w:tc>
          <w:tcPr>
            <w:tcW w:w="875" w:type="dxa"/>
            <w:vAlign w:val="center"/>
          </w:tcPr>
          <w:p w14:paraId="7BB77E15" w14:textId="77777777" w:rsidR="002F32D3" w:rsidRDefault="002F32D3">
            <w:pPr>
              <w:numPr>
                <w:ilvl w:val="0"/>
                <w:numId w:val="5"/>
              </w:numPr>
              <w:autoSpaceDE w:val="0"/>
              <w:autoSpaceDN w:val="0"/>
              <w:spacing w:line="360" w:lineRule="auto"/>
              <w:ind w:firstLine="0"/>
              <w:jc w:val="center"/>
              <w:rPr>
                <w:rFonts w:ascii="仿宋" w:eastAsia="仿宋" w:hAnsi="仿宋" w:cs="仿宋"/>
                <w:sz w:val="24"/>
              </w:rPr>
            </w:pPr>
          </w:p>
        </w:tc>
        <w:tc>
          <w:tcPr>
            <w:tcW w:w="1825" w:type="dxa"/>
            <w:vAlign w:val="center"/>
          </w:tcPr>
          <w:p w14:paraId="2C48F9B1"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安装</w:t>
            </w:r>
          </w:p>
        </w:tc>
        <w:tc>
          <w:tcPr>
            <w:tcW w:w="5725" w:type="dxa"/>
            <w:vAlign w:val="center"/>
          </w:tcPr>
          <w:p w14:paraId="069FC449"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①现场安装人员根据当前软件系统的技术要求，核对现场的运行环境是否与技术要求一致；</w:t>
            </w:r>
          </w:p>
          <w:p w14:paraId="61CB38A6"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t>②由版本管理人员或配置管理人员对发行的每个软件版本进行跟踪检查，确保能追踪到当前版本所对应的源码备份；</w:t>
            </w:r>
          </w:p>
          <w:p w14:paraId="3A39D4D9"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3 \* GB3 \* MERGEFORMAT </w:instrText>
            </w:r>
            <w:r>
              <w:rPr>
                <w:rFonts w:ascii="仿宋" w:eastAsia="仿宋" w:hAnsi="仿宋" w:cs="仿宋" w:hint="eastAsia"/>
                <w:sz w:val="24"/>
              </w:rPr>
              <w:fldChar w:fldCharType="separate"/>
            </w:r>
            <w:r>
              <w:rPr>
                <w:rFonts w:ascii="仿宋" w:eastAsia="仿宋" w:hAnsi="仿宋" w:cs="仿宋" w:hint="eastAsia"/>
                <w:sz w:val="24"/>
              </w:rPr>
              <w:t>③</w:t>
            </w:r>
            <w:r>
              <w:rPr>
                <w:rFonts w:ascii="仿宋" w:eastAsia="仿宋" w:hAnsi="仿宋" w:cs="仿宋" w:hint="eastAsia"/>
                <w:sz w:val="24"/>
              </w:rPr>
              <w:fldChar w:fldCharType="end"/>
            </w:r>
            <w:r>
              <w:rPr>
                <w:rFonts w:ascii="仿宋" w:eastAsia="仿宋" w:hAnsi="仿宋" w:cs="仿宋" w:hint="eastAsia"/>
                <w:sz w:val="24"/>
              </w:rPr>
              <w:t>现场安装的软件版本出口必须统一，统一由版本管理人员或配置管理人员从受控库检出再转交给软件</w:t>
            </w:r>
            <w:r>
              <w:rPr>
                <w:rFonts w:ascii="仿宋" w:eastAsia="仿宋" w:hAnsi="仿宋" w:cs="仿宋" w:hint="eastAsia"/>
                <w:sz w:val="24"/>
              </w:rPr>
              <w:lastRenderedPageBreak/>
              <w:t>安装人员；</w:t>
            </w:r>
          </w:p>
          <w:p w14:paraId="4C6A07AE" w14:textId="77777777" w:rsidR="002F32D3" w:rsidRDefault="00753E37">
            <w:pPr>
              <w:autoSpaceDE w:val="0"/>
              <w:autoSpaceDN w:val="0"/>
              <w:spacing w:line="360" w:lineRule="auto"/>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4 \* GB3 \* MERGEFORMAT </w:instrText>
            </w:r>
            <w:r>
              <w:rPr>
                <w:rFonts w:ascii="仿宋" w:eastAsia="仿宋" w:hAnsi="仿宋" w:cs="仿宋" w:hint="eastAsia"/>
                <w:sz w:val="24"/>
              </w:rPr>
              <w:fldChar w:fldCharType="separate"/>
            </w:r>
            <w:r>
              <w:rPr>
                <w:rFonts w:ascii="仿宋" w:eastAsia="仿宋" w:hAnsi="仿宋" w:cs="仿宋" w:hint="eastAsia"/>
                <w:sz w:val="24"/>
              </w:rPr>
              <w:t>④</w:t>
            </w:r>
            <w:r>
              <w:rPr>
                <w:rFonts w:ascii="仿宋" w:eastAsia="仿宋" w:hAnsi="仿宋" w:cs="仿宋" w:hint="eastAsia"/>
                <w:sz w:val="24"/>
              </w:rPr>
              <w:fldChar w:fldCharType="end"/>
            </w:r>
            <w:r>
              <w:rPr>
                <w:rFonts w:ascii="仿宋" w:eastAsia="仿宋" w:hAnsi="仿宋" w:cs="仿宋" w:hint="eastAsia"/>
                <w:sz w:val="24"/>
              </w:rPr>
              <w:t>现场软件安装完成后须进行确认及测试，形成安装记录。</w:t>
            </w:r>
          </w:p>
        </w:tc>
      </w:tr>
    </w:tbl>
    <w:p w14:paraId="7B8B3CB5" w14:textId="77777777" w:rsidR="002F32D3" w:rsidRDefault="00753E37">
      <w:pPr>
        <w:spacing w:line="360" w:lineRule="auto"/>
        <w:outlineLvl w:val="1"/>
        <w:rPr>
          <w:rFonts w:ascii="黑体" w:eastAsia="黑体" w:hAnsi="黑体" w:cs="黑体"/>
          <w:sz w:val="32"/>
          <w:szCs w:val="32"/>
        </w:rPr>
      </w:pPr>
      <w:bookmarkStart w:id="128" w:name="_Toc32278"/>
      <w:bookmarkStart w:id="129" w:name="_Toc18907"/>
      <w:bookmarkStart w:id="130" w:name="_Toc2300"/>
      <w:bookmarkStart w:id="131" w:name="_Toc6827"/>
      <w:bookmarkStart w:id="132" w:name="_Toc6347"/>
      <w:bookmarkStart w:id="133" w:name="_Toc2635"/>
      <w:bookmarkStart w:id="134" w:name="_Toc24219"/>
      <w:bookmarkStart w:id="135" w:name="_Toc11891"/>
      <w:bookmarkStart w:id="136" w:name="_Toc7195"/>
      <w:bookmarkStart w:id="137" w:name="_Toc5698"/>
      <w:bookmarkStart w:id="138" w:name="_Toc30051"/>
      <w:bookmarkStart w:id="139" w:name="_Toc28920"/>
      <w:bookmarkStart w:id="140" w:name="_Toc31427"/>
      <w:bookmarkStart w:id="141" w:name="_Toc8182"/>
      <w:r>
        <w:rPr>
          <w:rFonts w:ascii="黑体" w:eastAsia="黑体" w:hAnsi="黑体" w:cs="黑体" w:hint="eastAsia"/>
          <w:sz w:val="32"/>
          <w:szCs w:val="32"/>
        </w:rPr>
        <w:lastRenderedPageBreak/>
        <w:t>四、检查要点</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27A4E0DE" w14:textId="77777777" w:rsidR="002F32D3" w:rsidRDefault="00753E37">
      <w:pPr>
        <w:spacing w:line="360" w:lineRule="auto"/>
        <w:ind w:firstLineChars="200" w:firstLine="640"/>
        <w:outlineLvl w:val="2"/>
        <w:rPr>
          <w:rFonts w:ascii="楷体" w:eastAsia="楷体" w:hAnsi="楷体" w:cs="楷体"/>
          <w:sz w:val="32"/>
          <w:szCs w:val="32"/>
        </w:rPr>
      </w:pPr>
      <w:bookmarkStart w:id="142" w:name="_Toc20339"/>
      <w:bookmarkStart w:id="143" w:name="_Toc30133"/>
      <w:bookmarkStart w:id="144" w:name="_Toc17654"/>
      <w:bookmarkStart w:id="145" w:name="_Toc25606"/>
      <w:bookmarkStart w:id="146" w:name="_Toc10461"/>
      <w:bookmarkStart w:id="147" w:name="_Toc28901"/>
      <w:bookmarkStart w:id="148" w:name="_Toc21167"/>
      <w:bookmarkStart w:id="149" w:name="_Toc12354"/>
      <w:bookmarkStart w:id="150" w:name="_Toc20541"/>
      <w:bookmarkStart w:id="151" w:name="_Toc9443"/>
      <w:bookmarkStart w:id="152" w:name="_Toc28348"/>
      <w:bookmarkStart w:id="153" w:name="_Toc11323"/>
      <w:bookmarkStart w:id="154" w:name="_Toc7060"/>
      <w:bookmarkStart w:id="155" w:name="_Toc19808"/>
      <w:r>
        <w:rPr>
          <w:rFonts w:ascii="楷体" w:eastAsia="楷体" w:hAnsi="楷体" w:cs="楷体" w:hint="eastAsia"/>
          <w:sz w:val="32"/>
          <w:szCs w:val="32"/>
        </w:rPr>
        <w:t>（一）机构与人员</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7B537AE3" w14:textId="77777777" w:rsidR="002F32D3" w:rsidRDefault="00753E37">
      <w:pPr>
        <w:spacing w:line="360" w:lineRule="auto"/>
        <w:ind w:firstLineChars="200" w:firstLine="640"/>
        <w:rPr>
          <w:rFonts w:ascii="仿宋" w:eastAsia="仿宋" w:hAnsi="仿宋" w:cs="仿宋"/>
          <w:color w:val="000000"/>
          <w:sz w:val="32"/>
          <w:szCs w:val="28"/>
        </w:rPr>
      </w:pPr>
      <w:r>
        <w:rPr>
          <w:rFonts w:ascii="仿宋" w:eastAsia="仿宋" w:hAnsi="仿宋" w:cs="仿宋" w:hint="eastAsia"/>
          <w:color w:val="000000"/>
          <w:sz w:val="32"/>
          <w:szCs w:val="28"/>
        </w:rPr>
        <w:t>企业应当对从事影响产品质量的工作人员，特别是产品设计开发人员、测试人员等制定考核评价制度，培训内容是否包含相关法律法规、基础理论知识、专业操作技能、过程质量控制及质量检验等，并保留相关培训记录。如：软件设计开发人员和测试人员需进行强制性标准及行业标准IEC 62304（YY/T 0664）等培训。</w:t>
      </w:r>
    </w:p>
    <w:p w14:paraId="4C9E594A" w14:textId="77777777" w:rsidR="002F32D3" w:rsidRDefault="00753E37">
      <w:pPr>
        <w:spacing w:line="360" w:lineRule="auto"/>
        <w:ind w:firstLineChars="200" w:firstLine="640"/>
        <w:outlineLvl w:val="2"/>
        <w:rPr>
          <w:rFonts w:ascii="楷体" w:eastAsia="楷体" w:hAnsi="楷体" w:cs="楷体"/>
          <w:sz w:val="32"/>
          <w:szCs w:val="32"/>
        </w:rPr>
      </w:pPr>
      <w:bookmarkStart w:id="156" w:name="_Toc8954"/>
      <w:bookmarkStart w:id="157" w:name="_Toc21990"/>
      <w:bookmarkStart w:id="158" w:name="_Toc2405"/>
      <w:bookmarkStart w:id="159" w:name="_Toc22476"/>
      <w:bookmarkStart w:id="160" w:name="_Toc6481"/>
      <w:bookmarkStart w:id="161" w:name="_Toc11404"/>
      <w:bookmarkStart w:id="162" w:name="_Toc8537"/>
      <w:bookmarkStart w:id="163" w:name="_Toc25842"/>
      <w:bookmarkStart w:id="164" w:name="_Toc11979"/>
      <w:bookmarkStart w:id="165" w:name="_Toc7984"/>
      <w:bookmarkStart w:id="166" w:name="_Toc4451"/>
      <w:bookmarkStart w:id="167" w:name="_Toc27982"/>
      <w:bookmarkStart w:id="168" w:name="_Toc4498"/>
      <w:bookmarkStart w:id="169" w:name="_Toc29982"/>
      <w:r>
        <w:rPr>
          <w:rFonts w:ascii="楷体" w:eastAsia="楷体" w:hAnsi="楷体" w:cs="楷体" w:hint="eastAsia"/>
          <w:sz w:val="32"/>
          <w:szCs w:val="32"/>
        </w:rPr>
        <w:t>（二）厂房与设施</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554BDC59" w14:textId="77777777" w:rsidR="002F32D3" w:rsidRDefault="00753E37">
      <w:pPr>
        <w:spacing w:line="360" w:lineRule="auto"/>
        <w:ind w:firstLineChars="177" w:firstLine="566"/>
        <w:rPr>
          <w:rFonts w:ascii="仿宋" w:eastAsia="仿宋" w:hAnsi="仿宋" w:cs="Arial"/>
          <w:color w:val="000000"/>
          <w:sz w:val="32"/>
          <w:szCs w:val="32"/>
        </w:rPr>
      </w:pPr>
      <w:r>
        <w:rPr>
          <w:rFonts w:ascii="仿宋" w:eastAsia="仿宋" w:hAnsi="仿宋" w:cs="Arial" w:hint="eastAsia"/>
          <w:color w:val="000000"/>
          <w:sz w:val="32"/>
          <w:szCs w:val="32"/>
        </w:rPr>
        <w:t>企业应从多个方面进行考虑，包括硬件设施、软件设施、环境要求等。</w:t>
      </w:r>
    </w:p>
    <w:p w14:paraId="5A513353" w14:textId="77777777" w:rsidR="002F32D3" w:rsidRDefault="00753E37">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1．企业应配备相应的硬件设备，包括处理器、内存、存储设备、服务器及测试设备等；</w:t>
      </w:r>
    </w:p>
    <w:p w14:paraId="782ACDB1" w14:textId="77777777" w:rsidR="002F32D3" w:rsidRDefault="00753E37">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2. 企业应配备相应的软件设施，包括操作系统（如Windows等）、开发工具（如集成开发环境等）、测试工具（如Selenium、Junit等）、项目管理工具、版本控制系统等；</w:t>
      </w:r>
    </w:p>
    <w:p w14:paraId="1D21F7A3" w14:textId="77777777" w:rsidR="002F32D3" w:rsidRDefault="00753E37">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3、企业应确保其生产环境满足要求，厂房通风良好、光照充足，并保持适宜的温度与湿度。机房内空气含尘浓度需低于规定标准，同时必须配备有效的接地系统和高可靠性的供电系统。</w:t>
      </w:r>
    </w:p>
    <w:p w14:paraId="785E120C" w14:textId="77777777" w:rsidR="002F32D3" w:rsidRDefault="00753E37">
      <w:pPr>
        <w:spacing w:line="360" w:lineRule="auto"/>
        <w:ind w:firstLineChars="200" w:firstLine="640"/>
        <w:outlineLvl w:val="2"/>
        <w:rPr>
          <w:rFonts w:ascii="楷体" w:eastAsia="楷体" w:hAnsi="楷体" w:cs="楷体"/>
          <w:sz w:val="32"/>
          <w:szCs w:val="32"/>
        </w:rPr>
      </w:pPr>
      <w:bookmarkStart w:id="170" w:name="_Toc7390"/>
      <w:bookmarkStart w:id="171" w:name="_Toc27289"/>
      <w:bookmarkStart w:id="172" w:name="_Toc14831"/>
      <w:bookmarkStart w:id="173" w:name="_Toc1144"/>
      <w:bookmarkStart w:id="174" w:name="_Toc11913"/>
      <w:bookmarkStart w:id="175" w:name="_Toc30107"/>
      <w:bookmarkStart w:id="176" w:name="_Toc20462"/>
      <w:bookmarkStart w:id="177" w:name="_Toc1282"/>
      <w:bookmarkStart w:id="178" w:name="_Toc12505"/>
      <w:bookmarkStart w:id="179" w:name="_Toc12327"/>
      <w:bookmarkStart w:id="180" w:name="_Toc16597"/>
      <w:bookmarkStart w:id="181" w:name="_Toc11566"/>
      <w:bookmarkStart w:id="182" w:name="_Toc13833"/>
      <w:bookmarkStart w:id="183" w:name="_Toc4635"/>
      <w:r>
        <w:rPr>
          <w:rFonts w:ascii="楷体" w:eastAsia="楷体" w:hAnsi="楷体" w:cs="楷体" w:hint="eastAsia"/>
          <w:sz w:val="32"/>
          <w:szCs w:val="32"/>
        </w:rPr>
        <w:lastRenderedPageBreak/>
        <w:t>（三）设备</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4538065F" w14:textId="77777777" w:rsidR="002F32D3" w:rsidRDefault="00753E37">
      <w:pPr>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企业应在治疗控制系统软件开发过程提供充分、适宜、有效的开发和测试环境，包括软硬件设备、开发测试工具、网络等资源以及病毒防护、数据备份与恢复等保证措施。</w:t>
      </w:r>
    </w:p>
    <w:p w14:paraId="115933B8" w14:textId="77777777" w:rsidR="002F32D3" w:rsidRDefault="00753E37">
      <w:pPr>
        <w:spacing w:line="360" w:lineRule="auto"/>
        <w:ind w:firstLineChars="200" w:firstLine="640"/>
        <w:rPr>
          <w:rFonts w:ascii="仿宋" w:eastAsia="仿宋" w:hAnsi="仿宋" w:cs="Arial"/>
          <w:color w:val="000000"/>
          <w:sz w:val="32"/>
          <w:szCs w:val="32"/>
        </w:rPr>
      </w:pPr>
      <w:r>
        <w:rPr>
          <w:rFonts w:ascii="仿宋" w:eastAsia="仿宋" w:hAnsi="仿宋" w:cs="仿宋" w:hint="eastAsia"/>
          <w:color w:val="000000"/>
          <w:sz w:val="32"/>
          <w:szCs w:val="32"/>
        </w:rPr>
        <w:t>软件开发和测试环境维护应形成文件，确定软件开发和测试环境定期验证、更新升级、病毒防护等活动要求，保持相关记录。</w:t>
      </w:r>
    </w:p>
    <w:p w14:paraId="03F3AF72" w14:textId="77777777" w:rsidR="002F32D3" w:rsidRDefault="00753E37">
      <w:pPr>
        <w:spacing w:line="360" w:lineRule="auto"/>
        <w:ind w:firstLineChars="200" w:firstLine="640"/>
        <w:outlineLvl w:val="2"/>
        <w:rPr>
          <w:rFonts w:ascii="楷体" w:eastAsia="楷体" w:hAnsi="楷体" w:cs="楷体"/>
          <w:sz w:val="32"/>
          <w:szCs w:val="32"/>
        </w:rPr>
      </w:pPr>
      <w:bookmarkStart w:id="184" w:name="_Toc18902"/>
      <w:bookmarkStart w:id="185" w:name="_Toc4803"/>
      <w:bookmarkStart w:id="186" w:name="_Toc10855"/>
      <w:bookmarkStart w:id="187" w:name="_Toc14555"/>
      <w:bookmarkStart w:id="188" w:name="_Toc21606"/>
      <w:bookmarkStart w:id="189" w:name="_Toc22688"/>
      <w:bookmarkStart w:id="190" w:name="_Toc30450"/>
      <w:bookmarkStart w:id="191" w:name="_Toc9370"/>
      <w:bookmarkStart w:id="192" w:name="_Toc17090"/>
      <w:bookmarkStart w:id="193" w:name="_Toc20385"/>
      <w:bookmarkStart w:id="194" w:name="_Toc30897"/>
      <w:bookmarkStart w:id="195" w:name="_Toc19024"/>
      <w:bookmarkStart w:id="196" w:name="_Toc27229"/>
      <w:bookmarkStart w:id="197" w:name="_Toc18644"/>
      <w:r>
        <w:rPr>
          <w:rFonts w:ascii="楷体" w:eastAsia="楷体" w:hAnsi="楷体" w:cs="楷体" w:hint="eastAsia"/>
          <w:sz w:val="32"/>
          <w:szCs w:val="32"/>
        </w:rPr>
        <w:t>（四）文件管理</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07304C0D" w14:textId="77777777" w:rsidR="002F32D3" w:rsidRDefault="00753E37">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此部分内容详见总则要求。</w:t>
      </w:r>
    </w:p>
    <w:p w14:paraId="720D4475" w14:textId="77777777" w:rsidR="002F32D3" w:rsidRDefault="00753E37">
      <w:pPr>
        <w:spacing w:line="360" w:lineRule="auto"/>
        <w:ind w:firstLineChars="200" w:firstLine="640"/>
        <w:outlineLvl w:val="2"/>
        <w:rPr>
          <w:rFonts w:ascii="楷体" w:eastAsia="楷体" w:hAnsi="楷体" w:cs="楷体"/>
          <w:sz w:val="32"/>
          <w:szCs w:val="32"/>
        </w:rPr>
      </w:pPr>
      <w:bookmarkStart w:id="198" w:name="_Toc15787"/>
      <w:bookmarkStart w:id="199" w:name="_Toc4603"/>
      <w:bookmarkStart w:id="200" w:name="_Toc24600"/>
      <w:bookmarkStart w:id="201" w:name="_Toc4899"/>
      <w:bookmarkStart w:id="202" w:name="_Toc12388"/>
      <w:bookmarkStart w:id="203" w:name="_Toc9150"/>
      <w:bookmarkStart w:id="204" w:name="_Toc22405"/>
      <w:bookmarkStart w:id="205" w:name="_Toc20147"/>
      <w:bookmarkStart w:id="206" w:name="_Toc19206"/>
      <w:bookmarkStart w:id="207" w:name="_Toc22158"/>
      <w:bookmarkStart w:id="208" w:name="_Toc12564"/>
      <w:bookmarkStart w:id="209" w:name="_Toc24743"/>
      <w:bookmarkStart w:id="210" w:name="_Toc30853"/>
      <w:bookmarkStart w:id="211" w:name="_Toc27941"/>
      <w:r>
        <w:rPr>
          <w:rFonts w:ascii="楷体" w:eastAsia="楷体" w:hAnsi="楷体" w:cs="楷体" w:hint="eastAsia"/>
          <w:sz w:val="32"/>
          <w:szCs w:val="32"/>
        </w:rPr>
        <w:t>（五）设计开发</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020831FF" w14:textId="77777777" w:rsidR="002F32D3" w:rsidRDefault="00753E37">
      <w:pPr>
        <w:spacing w:line="360" w:lineRule="auto"/>
        <w:ind w:firstLineChars="200" w:firstLine="640"/>
        <w:rPr>
          <w:rFonts w:ascii="仿宋" w:eastAsia="仿宋" w:hAnsi="仿宋" w:cs="仿宋"/>
          <w:color w:val="000000"/>
          <w:sz w:val="32"/>
          <w:szCs w:val="28"/>
        </w:rPr>
      </w:pPr>
      <w:r>
        <w:rPr>
          <w:rFonts w:ascii="仿宋" w:eastAsia="仿宋" w:hAnsi="仿宋" w:cs="仿宋" w:hint="eastAsia"/>
          <w:color w:val="000000"/>
          <w:sz w:val="32"/>
          <w:szCs w:val="28"/>
        </w:rPr>
        <w:t>1.企业应当依据风险管理控制程序实施软件风险管理活动，结合软件功能、接口、用户界面、现成软件、网络安全等进行风险识别、分析、评价、控制和验证，并贯穿于软件生存周期全过程。</w:t>
      </w:r>
    </w:p>
    <w:p w14:paraId="0F72AFEC" w14:textId="3728097F" w:rsidR="002F32D3" w:rsidRDefault="00573298">
      <w:pPr>
        <w:spacing w:line="360" w:lineRule="auto"/>
        <w:ind w:firstLineChars="200" w:firstLine="640"/>
        <w:rPr>
          <w:rFonts w:ascii="仿宋" w:eastAsia="仿宋" w:hAnsi="仿宋" w:cs="仿宋"/>
          <w:color w:val="000000"/>
          <w:sz w:val="32"/>
          <w:szCs w:val="28"/>
        </w:rPr>
      </w:pPr>
      <w:r>
        <w:rPr>
          <w:rFonts w:ascii="仿宋" w:eastAsia="仿宋" w:hAnsi="仿宋" w:cs="仿宋" w:hint="eastAsia"/>
          <w:color w:val="000000"/>
          <w:sz w:val="32"/>
          <w:szCs w:val="28"/>
        </w:rPr>
        <w:t>（</w:t>
      </w:r>
      <w:r w:rsidR="00753E37">
        <w:rPr>
          <w:rFonts w:ascii="仿宋" w:eastAsia="仿宋" w:hAnsi="仿宋" w:cs="仿宋" w:hint="eastAsia"/>
          <w:color w:val="000000"/>
          <w:sz w:val="32"/>
          <w:szCs w:val="28"/>
        </w:rPr>
        <w:t>1）企业应在治疗控制系统软件设计开发策划阶段制定软件风险管理计划，包括风险管理活动的范围、职责和权限的分配、风险管理方针、风险可接受性准则、风险管理活动计划、验证活动、生产和生产后信息的收集等。</w:t>
      </w:r>
    </w:p>
    <w:p w14:paraId="3DD3B1A0" w14:textId="540DA534" w:rsidR="002F32D3" w:rsidRDefault="00573298">
      <w:pPr>
        <w:spacing w:line="360" w:lineRule="auto"/>
        <w:ind w:firstLineChars="200" w:firstLine="640"/>
        <w:rPr>
          <w:rFonts w:ascii="仿宋" w:eastAsia="仿宋" w:hAnsi="仿宋" w:cs="仿宋"/>
          <w:color w:val="000000"/>
          <w:sz w:val="32"/>
          <w:szCs w:val="28"/>
        </w:rPr>
      </w:pPr>
      <w:r>
        <w:rPr>
          <w:rFonts w:ascii="仿宋" w:eastAsia="仿宋" w:hAnsi="仿宋" w:cs="仿宋" w:hint="eastAsia"/>
          <w:color w:val="000000"/>
          <w:sz w:val="32"/>
          <w:szCs w:val="28"/>
        </w:rPr>
        <w:t>（</w:t>
      </w:r>
      <w:r w:rsidR="00753E37">
        <w:rPr>
          <w:rFonts w:ascii="仿宋" w:eastAsia="仿宋" w:hAnsi="仿宋" w:cs="仿宋" w:hint="eastAsia"/>
          <w:color w:val="000000"/>
          <w:sz w:val="32"/>
          <w:szCs w:val="28"/>
        </w:rPr>
        <w:t>2）企业应建立软件缺陷管理制度，对软件开发及使用过程中发现的各类缺陷进行记录、评估、修复、回归测试、风险管理、评审等，形成软件缺陷分析报告，例如：非预期输入数据的响应，使用的外部组件的错误（比如数据库、操</w:t>
      </w:r>
      <w:r w:rsidR="00753E37">
        <w:rPr>
          <w:rFonts w:ascii="仿宋" w:eastAsia="仿宋" w:hAnsi="仿宋" w:cs="仿宋" w:hint="eastAsia"/>
          <w:color w:val="000000"/>
          <w:sz w:val="32"/>
          <w:szCs w:val="28"/>
        </w:rPr>
        <w:lastRenderedPageBreak/>
        <w:t>作系统和IT环境），网络安全风险/威胁、人机界面和人为错误等。</w:t>
      </w:r>
    </w:p>
    <w:p w14:paraId="7D521D24" w14:textId="77777777" w:rsidR="002F32D3" w:rsidRDefault="00753E37">
      <w:pPr>
        <w:spacing w:line="360" w:lineRule="auto"/>
        <w:ind w:firstLineChars="200" w:firstLine="640"/>
        <w:rPr>
          <w:rFonts w:ascii="仿宋" w:eastAsia="仿宋" w:hAnsi="仿宋" w:cs="仿宋"/>
          <w:color w:val="000000"/>
          <w:sz w:val="32"/>
          <w:szCs w:val="28"/>
        </w:rPr>
      </w:pPr>
      <w:r>
        <w:rPr>
          <w:rFonts w:ascii="仿宋" w:eastAsia="仿宋" w:hAnsi="仿宋" w:cs="仿宋" w:hint="eastAsia"/>
          <w:color w:val="000000"/>
          <w:sz w:val="32"/>
          <w:szCs w:val="28"/>
        </w:rPr>
        <w:t>2.企业应根据软件产品特点、质量管理体系要求、合规性等因素制定软件版本命名规则并予以记录，各字段含义明确且无歧义无矛盾。例如，软件版本命名规则为X.Y.Z.B，其中X表示重大增强类更新，Y表示轻微增强类更新，Z表示纠正类更新，B表示内部构建，则软件完整版本为X.Y.Z.B，而软件发布版本为X，此时X发生变化应进行许可事项变更，而Y、Z和B发生变化无需进行许可事项变更。</w:t>
      </w:r>
    </w:p>
    <w:p w14:paraId="5234DBFF" w14:textId="77777777" w:rsidR="002F32D3" w:rsidRDefault="00753E37">
      <w:pPr>
        <w:spacing w:line="360" w:lineRule="auto"/>
        <w:ind w:firstLineChars="200" w:firstLine="640"/>
        <w:rPr>
          <w:rFonts w:ascii="仿宋" w:eastAsia="仿宋" w:hAnsi="仿宋" w:cs="仿宋"/>
          <w:color w:val="000000"/>
          <w:sz w:val="32"/>
          <w:szCs w:val="28"/>
        </w:rPr>
      </w:pPr>
      <w:r>
        <w:rPr>
          <w:rFonts w:ascii="仿宋" w:eastAsia="仿宋" w:hAnsi="仿宋" w:cs="仿宋" w:hint="eastAsia"/>
          <w:color w:val="000000"/>
          <w:sz w:val="32"/>
          <w:szCs w:val="28"/>
        </w:rPr>
        <w:t>3.企业应建立软件可追溯性分析控制程序并形成文件，涵盖现成软件、网络安全的控制要求，软件可追溯性分析能够追踪到软件需求、软件设计、源代码、测试及风险管理之间的关系，相互之间满足正确性、一致性和完整性的要求。</w:t>
      </w:r>
    </w:p>
    <w:p w14:paraId="50E8B175" w14:textId="77777777" w:rsidR="002F32D3" w:rsidRDefault="00753E37">
      <w:pPr>
        <w:spacing w:line="360" w:lineRule="auto"/>
        <w:ind w:firstLineChars="200" w:firstLine="640"/>
        <w:rPr>
          <w:rFonts w:ascii="仿宋" w:eastAsia="仿宋" w:hAnsi="仿宋" w:cs="仿宋"/>
          <w:color w:val="000000"/>
          <w:sz w:val="32"/>
          <w:szCs w:val="28"/>
        </w:rPr>
      </w:pPr>
      <w:r>
        <w:rPr>
          <w:rFonts w:ascii="仿宋" w:eastAsia="仿宋" w:hAnsi="仿宋" w:cs="仿宋" w:hint="eastAsia"/>
          <w:color w:val="000000"/>
          <w:sz w:val="32"/>
          <w:szCs w:val="28"/>
        </w:rPr>
        <w:t>4.企业应对软件需求进行分析，包括法规、标准、用户、产品、功能、性能、接口、用户界面、网络安全、警示提示等软件需求，确定风险管理、可追溯性分析、现成软件使用评估、软件确认测试计划创建、评审等活动要求，形成软件需求规范和评审记录并经批准，适时更新并经批准。</w:t>
      </w:r>
    </w:p>
    <w:p w14:paraId="09ECBDF5" w14:textId="77777777" w:rsidR="002F32D3" w:rsidRDefault="00753E37">
      <w:pPr>
        <w:spacing w:line="360" w:lineRule="auto"/>
        <w:ind w:firstLineChars="200" w:firstLine="640"/>
        <w:rPr>
          <w:rFonts w:ascii="仿宋" w:eastAsia="仿宋" w:hAnsi="仿宋" w:cs="仿宋"/>
          <w:color w:val="000000"/>
          <w:sz w:val="32"/>
          <w:szCs w:val="28"/>
        </w:rPr>
      </w:pPr>
      <w:r>
        <w:rPr>
          <w:rFonts w:ascii="仿宋" w:eastAsia="仿宋" w:hAnsi="仿宋" w:cs="仿宋" w:hint="eastAsia"/>
          <w:color w:val="000000"/>
          <w:sz w:val="32"/>
          <w:szCs w:val="28"/>
        </w:rPr>
        <w:t>5.企业应依据软件需求规范实施软件体系架构、功能、性能、算法、接口、用户界面、单元、网络安全等设计，确定风险管理、可追溯性分析、现成软件使用评估、软件验证测试计划创建、评审等活动要求，形成软件设计规范和评审</w:t>
      </w:r>
      <w:r>
        <w:rPr>
          <w:rFonts w:ascii="仿宋" w:eastAsia="仿宋" w:hAnsi="仿宋" w:cs="仿宋" w:hint="eastAsia"/>
          <w:color w:val="000000"/>
          <w:sz w:val="32"/>
          <w:szCs w:val="28"/>
        </w:rPr>
        <w:lastRenderedPageBreak/>
        <w:t>记录并经批准，适时更新并经批准。</w:t>
      </w:r>
    </w:p>
    <w:p w14:paraId="5A401B6C" w14:textId="77777777" w:rsidR="002F32D3" w:rsidRDefault="00753E37">
      <w:pPr>
        <w:spacing w:line="360" w:lineRule="auto"/>
        <w:ind w:firstLineChars="200" w:firstLine="640"/>
        <w:rPr>
          <w:rFonts w:ascii="仿宋" w:eastAsia="仿宋" w:hAnsi="仿宋" w:cs="仿宋"/>
          <w:color w:val="000000"/>
          <w:sz w:val="32"/>
          <w:szCs w:val="28"/>
        </w:rPr>
      </w:pPr>
      <w:r>
        <w:rPr>
          <w:rFonts w:ascii="仿宋" w:eastAsia="仿宋" w:hAnsi="仿宋" w:cs="仿宋" w:hint="eastAsia"/>
          <w:color w:val="000000"/>
          <w:sz w:val="32"/>
          <w:szCs w:val="28"/>
        </w:rPr>
        <w:t>6.企业应制定软件测试计划，依据软件测试计划进行单元测试、集成测试、系统测试，涵盖现成软件、网络安全的测试要求，形成相应软件测试记录、测试报告以及评审记录，并适时更新。</w:t>
      </w:r>
    </w:p>
    <w:p w14:paraId="6868D9A5" w14:textId="77777777" w:rsidR="002F32D3" w:rsidRDefault="00753E37">
      <w:pPr>
        <w:spacing w:line="360" w:lineRule="auto"/>
        <w:ind w:firstLineChars="200" w:firstLine="640"/>
        <w:rPr>
          <w:rFonts w:ascii="仿宋" w:eastAsia="仿宋" w:hAnsi="仿宋" w:cs="仿宋"/>
          <w:color w:val="000000"/>
          <w:sz w:val="32"/>
          <w:szCs w:val="28"/>
        </w:rPr>
      </w:pPr>
      <w:r>
        <w:rPr>
          <w:rFonts w:ascii="仿宋" w:eastAsia="仿宋" w:hAnsi="仿宋" w:cs="仿宋" w:hint="eastAsia"/>
          <w:color w:val="000000"/>
          <w:sz w:val="32"/>
          <w:szCs w:val="28"/>
        </w:rPr>
        <w:t>7.企业应制定软件确认制度，确认内容包含用户测试、临床评价、评审等活动要求，涵盖现成软件、网络安全的确认要求，并保持相关记录。能够保证软件满足用户需求和预期目的，且软件已知剩余缺陷的风险均可接受。</w:t>
      </w:r>
    </w:p>
    <w:p w14:paraId="19727FDC" w14:textId="77777777" w:rsidR="002F32D3" w:rsidRDefault="00753E37">
      <w:pPr>
        <w:spacing w:line="360" w:lineRule="auto"/>
        <w:ind w:firstLineChars="200" w:firstLine="640"/>
        <w:rPr>
          <w:rFonts w:ascii="仿宋" w:eastAsia="仿宋" w:hAnsi="仿宋" w:cs="仿宋"/>
          <w:color w:val="000000"/>
          <w:sz w:val="32"/>
          <w:szCs w:val="28"/>
        </w:rPr>
      </w:pPr>
      <w:r>
        <w:rPr>
          <w:rFonts w:ascii="仿宋" w:eastAsia="仿宋" w:hAnsi="仿宋" w:cs="仿宋" w:hint="eastAsia"/>
          <w:color w:val="000000"/>
          <w:sz w:val="32"/>
          <w:szCs w:val="28"/>
        </w:rPr>
        <w:t>8.企业软件更新应形成文件，涵盖现成软件、网络安全的变更控制要求，确定软件更新请求评估、软件更新策划、软件更新实施、风险管理、验证与确认、缺陷管理、可追溯性分析、配置管理、文件与记录控制、评审、用户告知等活动要求，形成相关文件和记录并经批准，适时更新并经批准。软件版本变更应当与软件更新情况相匹配。验证与确认应当根据软件更新的类型、内容和程度实施相适宜的回归测试、用户测试等活动。</w:t>
      </w:r>
    </w:p>
    <w:p w14:paraId="589FEA7F" w14:textId="77777777" w:rsidR="002F32D3" w:rsidRDefault="00753E37">
      <w:pPr>
        <w:spacing w:line="360" w:lineRule="auto"/>
        <w:ind w:firstLineChars="200" w:firstLine="640"/>
        <w:outlineLvl w:val="2"/>
        <w:rPr>
          <w:rFonts w:ascii="楷体" w:eastAsia="楷体" w:hAnsi="楷体" w:cs="楷体"/>
          <w:sz w:val="32"/>
          <w:szCs w:val="32"/>
        </w:rPr>
      </w:pPr>
      <w:bookmarkStart w:id="212" w:name="_Toc17053"/>
      <w:bookmarkStart w:id="213" w:name="_Toc3449"/>
      <w:bookmarkStart w:id="214" w:name="_Toc201"/>
      <w:bookmarkStart w:id="215" w:name="_Toc15165"/>
      <w:bookmarkStart w:id="216" w:name="_Toc3104"/>
      <w:bookmarkStart w:id="217" w:name="_Toc9283"/>
      <w:bookmarkStart w:id="218" w:name="_Toc16870"/>
      <w:bookmarkStart w:id="219" w:name="_Toc14893"/>
      <w:bookmarkStart w:id="220" w:name="_Toc18291"/>
      <w:bookmarkStart w:id="221" w:name="_Toc16702"/>
      <w:bookmarkStart w:id="222" w:name="_Toc17577"/>
      <w:bookmarkStart w:id="223" w:name="_Toc24214"/>
      <w:bookmarkStart w:id="224" w:name="_Toc32131"/>
      <w:bookmarkStart w:id="225" w:name="_Toc2852"/>
      <w:r>
        <w:rPr>
          <w:rFonts w:ascii="楷体" w:eastAsia="楷体" w:hAnsi="楷体" w:cs="楷体" w:hint="eastAsia"/>
          <w:sz w:val="32"/>
          <w:szCs w:val="32"/>
        </w:rPr>
        <w:t>（六）采购</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4907D4DC" w14:textId="77777777" w:rsidR="002F32D3" w:rsidRDefault="00753E37">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此部分内容</w:t>
      </w:r>
      <w:r>
        <w:rPr>
          <w:rFonts w:ascii="仿宋" w:eastAsia="仿宋" w:hAnsi="仿宋" w:cs="微软雅黑" w:hint="eastAsia"/>
          <w:color w:val="000000"/>
          <w:sz w:val="32"/>
          <w:szCs w:val="32"/>
        </w:rPr>
        <w:t>详见</w:t>
      </w:r>
      <w:r>
        <w:rPr>
          <w:rFonts w:ascii="仿宋" w:eastAsia="仿宋" w:hAnsi="仿宋" w:cs="___WRD_EMBED_SUB_44" w:hint="eastAsia"/>
          <w:color w:val="000000"/>
          <w:sz w:val="32"/>
          <w:szCs w:val="32"/>
        </w:rPr>
        <w:t>总则要求</w:t>
      </w:r>
    </w:p>
    <w:p w14:paraId="0203D339" w14:textId="77777777" w:rsidR="002F32D3" w:rsidRDefault="00753E37">
      <w:pPr>
        <w:spacing w:line="360" w:lineRule="auto"/>
        <w:ind w:firstLineChars="200" w:firstLine="640"/>
        <w:outlineLvl w:val="2"/>
        <w:rPr>
          <w:rFonts w:ascii="楷体" w:eastAsia="楷体" w:hAnsi="楷体" w:cs="楷体"/>
          <w:sz w:val="32"/>
          <w:szCs w:val="32"/>
        </w:rPr>
      </w:pPr>
      <w:bookmarkStart w:id="226" w:name="_Toc11047"/>
      <w:bookmarkStart w:id="227" w:name="_Toc28215"/>
      <w:bookmarkStart w:id="228" w:name="_Toc32066"/>
      <w:bookmarkStart w:id="229" w:name="_Toc4443"/>
      <w:bookmarkStart w:id="230" w:name="_Toc31453"/>
      <w:bookmarkStart w:id="231" w:name="_Toc27932"/>
      <w:bookmarkStart w:id="232" w:name="_Toc20388"/>
      <w:bookmarkStart w:id="233" w:name="_Toc28288"/>
      <w:bookmarkStart w:id="234" w:name="_Toc26939"/>
      <w:bookmarkStart w:id="235" w:name="_Toc21893"/>
      <w:bookmarkStart w:id="236" w:name="_Toc3190"/>
      <w:bookmarkStart w:id="237" w:name="_Toc30788"/>
      <w:bookmarkStart w:id="238" w:name="_Toc7101"/>
      <w:bookmarkStart w:id="239" w:name="_Toc8007"/>
      <w:r>
        <w:rPr>
          <w:rFonts w:ascii="楷体" w:eastAsia="楷体" w:hAnsi="楷体" w:cs="楷体" w:hint="eastAsia"/>
          <w:sz w:val="32"/>
          <w:szCs w:val="32"/>
        </w:rPr>
        <w:t>（七）质量控制</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267292A4" w14:textId="77777777" w:rsidR="002F32D3" w:rsidRDefault="00753E37">
      <w:pPr>
        <w:numPr>
          <w:ilvl w:val="0"/>
          <w:numId w:val="6"/>
        </w:num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企业应建立软件检验管理制度，依据检验制度对软件进行相应测试，并保留相关记录。</w:t>
      </w:r>
    </w:p>
    <w:p w14:paraId="14706C1B" w14:textId="77777777" w:rsidR="002F32D3" w:rsidRDefault="00753E37">
      <w:pPr>
        <w:numPr>
          <w:ilvl w:val="0"/>
          <w:numId w:val="6"/>
        </w:num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企业应建立软件产品放行文件，确定软件版本识别、安装卸载测试、产品完整性检查、放行批准等活动要求，并保留相关记录。</w:t>
      </w:r>
    </w:p>
    <w:p w14:paraId="37F00912" w14:textId="77777777" w:rsidR="002F32D3" w:rsidRDefault="00753E37">
      <w:pPr>
        <w:numPr>
          <w:ilvl w:val="0"/>
          <w:numId w:val="6"/>
        </w:num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不合格品控制</w:t>
      </w:r>
    </w:p>
    <w:p w14:paraId="0E98D966" w14:textId="77777777" w:rsidR="002F32D3" w:rsidRDefault="00753E37">
      <w:pPr>
        <w:numPr>
          <w:ilvl w:val="0"/>
          <w:numId w:val="7"/>
        </w:numPr>
        <w:tabs>
          <w:tab w:val="left" w:pos="1050"/>
        </w:tabs>
        <w:spacing w:line="360" w:lineRule="auto"/>
        <w:ind w:left="0" w:firstLine="640"/>
        <w:rPr>
          <w:rFonts w:ascii="仿宋" w:eastAsia="仿宋" w:hAnsi="仿宋"/>
          <w:color w:val="000000"/>
          <w:sz w:val="32"/>
          <w:szCs w:val="32"/>
        </w:rPr>
      </w:pPr>
      <w:bookmarkStart w:id="240" w:name="_GoBack"/>
      <w:bookmarkEnd w:id="240"/>
      <w:r>
        <w:rPr>
          <w:rFonts w:ascii="仿宋" w:eastAsia="仿宋" w:hAnsi="仿宋" w:hint="eastAsia"/>
          <w:color w:val="000000"/>
          <w:sz w:val="32"/>
          <w:szCs w:val="32"/>
        </w:rPr>
        <w:t>企业应建立不合格品控制程序，规定不合格品控制的部门和人员的职责与权限。</w:t>
      </w:r>
    </w:p>
    <w:p w14:paraId="18D8DA13" w14:textId="77777777" w:rsidR="002F32D3" w:rsidRDefault="00753E37">
      <w:pPr>
        <w:numPr>
          <w:ilvl w:val="0"/>
          <w:numId w:val="7"/>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企业应明确不合格物料的识别、记录、隔离和评审流程，根据评审结果，对不合格物料采取相应的处置措施。</w:t>
      </w:r>
    </w:p>
    <w:p w14:paraId="5232D156" w14:textId="77777777" w:rsidR="002F32D3" w:rsidRDefault="00753E37">
      <w:pPr>
        <w:numPr>
          <w:ilvl w:val="0"/>
          <w:numId w:val="7"/>
        </w:numPr>
        <w:tabs>
          <w:tab w:val="left" w:pos="1050"/>
        </w:tabs>
        <w:spacing w:line="360" w:lineRule="auto"/>
        <w:ind w:left="0" w:firstLine="640"/>
        <w:rPr>
          <w:rFonts w:ascii="仿宋" w:eastAsia="仿宋" w:hAnsi="仿宋"/>
          <w:color w:val="000000"/>
          <w:sz w:val="32"/>
          <w:szCs w:val="32"/>
        </w:rPr>
      </w:pPr>
      <w:r>
        <w:rPr>
          <w:rFonts w:ascii="仿宋" w:eastAsia="仿宋" w:hAnsi="仿宋" w:hint="eastAsia"/>
          <w:color w:val="000000"/>
          <w:sz w:val="32"/>
          <w:szCs w:val="32"/>
        </w:rPr>
        <w:t>企业应按程序文件要求执行，对不合格物料分门归类、原因分析、纠正预防措施应合理、有效，应进行评审，且保留评审记录。</w:t>
      </w:r>
    </w:p>
    <w:p w14:paraId="79CD6554" w14:textId="77777777" w:rsidR="002F32D3" w:rsidRDefault="00753E37">
      <w:pPr>
        <w:numPr>
          <w:ilvl w:val="0"/>
          <w:numId w:val="7"/>
        </w:numPr>
        <w:tabs>
          <w:tab w:val="left" w:pos="1050"/>
        </w:tabs>
        <w:spacing w:line="360" w:lineRule="auto"/>
        <w:ind w:left="0" w:firstLine="640"/>
        <w:rPr>
          <w:sz w:val="32"/>
          <w:szCs w:val="32"/>
        </w:rPr>
      </w:pPr>
      <w:r>
        <w:rPr>
          <w:rFonts w:ascii="仿宋" w:eastAsia="仿宋" w:hAnsi="仿宋" w:hint="eastAsia"/>
          <w:color w:val="000000"/>
          <w:sz w:val="32"/>
          <w:szCs w:val="32"/>
        </w:rPr>
        <w:t>企业应对可以返工的不合格物料作出规定，应按照返工文件要求进行返工活动，并记录。</w:t>
      </w:r>
    </w:p>
    <w:p w14:paraId="029064A7" w14:textId="77777777" w:rsidR="002F32D3" w:rsidRDefault="00753E37">
      <w:pPr>
        <w:numPr>
          <w:ilvl w:val="0"/>
          <w:numId w:val="7"/>
        </w:numPr>
        <w:tabs>
          <w:tab w:val="left" w:pos="1050"/>
        </w:tabs>
        <w:spacing w:line="360" w:lineRule="auto"/>
        <w:ind w:left="0" w:firstLine="640"/>
        <w:rPr>
          <w:sz w:val="32"/>
          <w:szCs w:val="32"/>
        </w:rPr>
      </w:pPr>
      <w:r>
        <w:rPr>
          <w:rFonts w:ascii="仿宋" w:eastAsia="仿宋" w:hAnsi="仿宋" w:hint="eastAsia"/>
          <w:color w:val="000000"/>
          <w:sz w:val="32"/>
          <w:szCs w:val="32"/>
        </w:rPr>
        <w:t>企业应建立不合格物料处置记录，记录内容应完整且能有效反映处置的过程，满足可追溯要求。</w:t>
      </w:r>
    </w:p>
    <w:sectPr w:rsidR="002F32D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B7816" w14:textId="77777777" w:rsidR="00E97C48" w:rsidRDefault="00E97C48" w:rsidP="007A480B">
      <w:r>
        <w:separator/>
      </w:r>
    </w:p>
  </w:endnote>
  <w:endnote w:type="continuationSeparator" w:id="0">
    <w:p w14:paraId="13B01206" w14:textId="77777777" w:rsidR="00E97C48" w:rsidRDefault="00E97C48" w:rsidP="007A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___WRD_EMBED_SUB_44">
    <w:altName w:val="宋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961633"/>
      <w:docPartObj>
        <w:docPartGallery w:val="Page Numbers (Bottom of Page)"/>
        <w:docPartUnique/>
      </w:docPartObj>
    </w:sdtPr>
    <w:sdtEndPr/>
    <w:sdtContent>
      <w:sdt>
        <w:sdtPr>
          <w:id w:val="1728636285"/>
          <w:docPartObj>
            <w:docPartGallery w:val="Page Numbers (Top of Page)"/>
            <w:docPartUnique/>
          </w:docPartObj>
        </w:sdtPr>
        <w:sdtEndPr/>
        <w:sdtContent>
          <w:p w14:paraId="09EC4C98" w14:textId="33EE4500" w:rsidR="007A480B" w:rsidRDefault="007A480B">
            <w:pPr>
              <w:pStyle w:val="a9"/>
              <w:jc w:val="center"/>
            </w:pPr>
            <w:r w:rsidRPr="007A480B">
              <w:rPr>
                <w:rFonts w:ascii="宋体" w:hAnsi="宋体" w:hint="eastAsia"/>
                <w:sz w:val="21"/>
                <w:szCs w:val="21"/>
              </w:rPr>
              <w:t>第</w:t>
            </w:r>
            <w:r w:rsidRPr="007A480B">
              <w:rPr>
                <w:rFonts w:ascii="宋体" w:hAnsi="宋体"/>
                <w:bCs/>
                <w:sz w:val="21"/>
                <w:szCs w:val="21"/>
              </w:rPr>
              <w:fldChar w:fldCharType="begin"/>
            </w:r>
            <w:r w:rsidRPr="007A480B">
              <w:rPr>
                <w:rFonts w:ascii="宋体" w:hAnsi="宋体"/>
                <w:bCs/>
                <w:sz w:val="21"/>
                <w:szCs w:val="21"/>
              </w:rPr>
              <w:instrText>PAGE</w:instrText>
            </w:r>
            <w:r w:rsidRPr="007A480B">
              <w:rPr>
                <w:rFonts w:ascii="宋体" w:hAnsi="宋体"/>
                <w:bCs/>
                <w:sz w:val="21"/>
                <w:szCs w:val="21"/>
              </w:rPr>
              <w:fldChar w:fldCharType="separate"/>
            </w:r>
            <w:r w:rsidR="00573298">
              <w:rPr>
                <w:rFonts w:ascii="宋体" w:hAnsi="宋体"/>
                <w:bCs/>
                <w:noProof/>
                <w:sz w:val="21"/>
                <w:szCs w:val="21"/>
              </w:rPr>
              <w:t>11</w:t>
            </w:r>
            <w:r w:rsidRPr="007A480B">
              <w:rPr>
                <w:rFonts w:ascii="宋体" w:hAnsi="宋体"/>
                <w:bCs/>
                <w:sz w:val="21"/>
                <w:szCs w:val="21"/>
              </w:rPr>
              <w:fldChar w:fldCharType="end"/>
            </w:r>
            <w:r w:rsidRPr="007A480B">
              <w:rPr>
                <w:rFonts w:ascii="宋体" w:hAnsi="宋体" w:hint="eastAsia"/>
                <w:bCs/>
                <w:sz w:val="21"/>
                <w:szCs w:val="21"/>
              </w:rPr>
              <w:t>页 共</w:t>
            </w:r>
            <w:r w:rsidRPr="007A480B">
              <w:rPr>
                <w:rFonts w:ascii="宋体" w:hAnsi="宋体"/>
                <w:bCs/>
                <w:sz w:val="21"/>
                <w:szCs w:val="21"/>
              </w:rPr>
              <w:fldChar w:fldCharType="begin"/>
            </w:r>
            <w:r w:rsidRPr="007A480B">
              <w:rPr>
                <w:rFonts w:ascii="宋体" w:hAnsi="宋体"/>
                <w:bCs/>
                <w:sz w:val="21"/>
                <w:szCs w:val="21"/>
              </w:rPr>
              <w:instrText>NUMPAGES</w:instrText>
            </w:r>
            <w:r w:rsidRPr="007A480B">
              <w:rPr>
                <w:rFonts w:ascii="宋体" w:hAnsi="宋体"/>
                <w:bCs/>
                <w:sz w:val="21"/>
                <w:szCs w:val="21"/>
              </w:rPr>
              <w:fldChar w:fldCharType="separate"/>
            </w:r>
            <w:r w:rsidR="00573298">
              <w:rPr>
                <w:rFonts w:ascii="宋体" w:hAnsi="宋体"/>
                <w:bCs/>
                <w:noProof/>
                <w:sz w:val="21"/>
                <w:szCs w:val="21"/>
              </w:rPr>
              <w:t>11</w:t>
            </w:r>
            <w:r w:rsidRPr="007A480B">
              <w:rPr>
                <w:rFonts w:ascii="宋体" w:hAnsi="宋体"/>
                <w:bCs/>
                <w:sz w:val="21"/>
                <w:szCs w:val="21"/>
              </w:rPr>
              <w:fldChar w:fldCharType="end"/>
            </w:r>
            <w:r w:rsidRPr="007A480B">
              <w:rPr>
                <w:rFonts w:ascii="宋体" w:hAnsi="宋体" w:hint="eastAsia"/>
                <w:bCs/>
                <w:sz w:val="21"/>
                <w:szCs w:val="21"/>
              </w:rPr>
              <w:t>页</w:t>
            </w:r>
          </w:p>
        </w:sdtContent>
      </w:sdt>
    </w:sdtContent>
  </w:sdt>
  <w:p w14:paraId="5F133B55" w14:textId="77777777" w:rsidR="007A480B" w:rsidRDefault="007A480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1BDDF" w14:textId="77777777" w:rsidR="00E97C48" w:rsidRDefault="00E97C48" w:rsidP="007A480B">
      <w:r>
        <w:separator/>
      </w:r>
    </w:p>
  </w:footnote>
  <w:footnote w:type="continuationSeparator" w:id="0">
    <w:p w14:paraId="2DB5BA14" w14:textId="77777777" w:rsidR="00E97C48" w:rsidRDefault="00E97C48" w:rsidP="007A48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85EA18"/>
    <w:multiLevelType w:val="singleLevel"/>
    <w:tmpl w:val="9285EA18"/>
    <w:lvl w:ilvl="0">
      <w:start w:val="1"/>
      <w:numFmt w:val="decimal"/>
      <w:suff w:val="nothing"/>
      <w:lvlText w:val="%1"/>
      <w:lvlJc w:val="left"/>
      <w:pPr>
        <w:ind w:left="0" w:firstLine="403"/>
      </w:pPr>
      <w:rPr>
        <w:rFonts w:hint="default"/>
      </w:rPr>
    </w:lvl>
  </w:abstractNum>
  <w:abstractNum w:abstractNumId="1" w15:restartNumberingAfterBreak="0">
    <w:nsid w:val="E275A70A"/>
    <w:multiLevelType w:val="singleLevel"/>
    <w:tmpl w:val="E275A70A"/>
    <w:lvl w:ilvl="0">
      <w:start w:val="1"/>
      <w:numFmt w:val="decimal"/>
      <w:suff w:val="nothing"/>
      <w:lvlText w:val="%1．"/>
      <w:lvlJc w:val="left"/>
      <w:pPr>
        <w:ind w:left="0" w:firstLine="400"/>
      </w:pPr>
      <w:rPr>
        <w:rFonts w:hint="default"/>
      </w:rPr>
    </w:lvl>
  </w:abstractNum>
  <w:abstractNum w:abstractNumId="2" w15:restartNumberingAfterBreak="0">
    <w:nsid w:val="FC1D1B69"/>
    <w:multiLevelType w:val="singleLevel"/>
    <w:tmpl w:val="FC1D1B69"/>
    <w:lvl w:ilvl="0">
      <w:start w:val="2"/>
      <w:numFmt w:val="chineseCounting"/>
      <w:suff w:val="nothing"/>
      <w:lvlText w:val="%1、"/>
      <w:lvlJc w:val="left"/>
      <w:rPr>
        <w:rFonts w:hint="eastAsia"/>
      </w:rPr>
    </w:lvl>
  </w:abstractNum>
  <w:abstractNum w:abstractNumId="3" w15:restartNumberingAfterBreak="0">
    <w:nsid w:val="1B1CDEAB"/>
    <w:multiLevelType w:val="singleLevel"/>
    <w:tmpl w:val="BFEE9474"/>
    <w:lvl w:ilvl="0">
      <w:start w:val="1"/>
      <w:numFmt w:val="decimal"/>
      <w:suff w:val="nothing"/>
      <w:lvlText w:val="（%1）"/>
      <w:lvlJc w:val="left"/>
      <w:pPr>
        <w:ind w:left="420" w:hanging="420"/>
      </w:pPr>
      <w:rPr>
        <w:rFonts w:ascii="仿宋_GB2312" w:eastAsia="仿宋_GB2312" w:hint="eastAsia"/>
      </w:rPr>
    </w:lvl>
  </w:abstractNum>
  <w:abstractNum w:abstractNumId="4" w15:restartNumberingAfterBreak="0">
    <w:nsid w:val="2DD10026"/>
    <w:multiLevelType w:val="singleLevel"/>
    <w:tmpl w:val="2DD10026"/>
    <w:lvl w:ilvl="0">
      <w:start w:val="1"/>
      <w:numFmt w:val="decimal"/>
      <w:suff w:val="nothing"/>
      <w:lvlText w:val="%1．"/>
      <w:lvlJc w:val="left"/>
      <w:pPr>
        <w:ind w:left="0" w:firstLine="400"/>
      </w:pPr>
      <w:rPr>
        <w:rFonts w:hint="default"/>
      </w:rPr>
    </w:lvl>
  </w:abstractNum>
  <w:abstractNum w:abstractNumId="5" w15:restartNumberingAfterBreak="0">
    <w:nsid w:val="4C7A1E99"/>
    <w:multiLevelType w:val="singleLevel"/>
    <w:tmpl w:val="728010C6"/>
    <w:lvl w:ilvl="0">
      <w:start w:val="1"/>
      <w:numFmt w:val="decimal"/>
      <w:suff w:val="nothing"/>
      <w:lvlText w:val="%1"/>
      <w:lvlJc w:val="left"/>
      <w:pPr>
        <w:ind w:left="0" w:firstLine="400"/>
      </w:pPr>
      <w:rPr>
        <w:rFonts w:hint="default"/>
      </w:rPr>
    </w:lvl>
  </w:abstractNum>
  <w:abstractNum w:abstractNumId="6" w15:restartNumberingAfterBreak="0">
    <w:nsid w:val="7F87D2F1"/>
    <w:multiLevelType w:val="singleLevel"/>
    <w:tmpl w:val="7F87D2F1"/>
    <w:lvl w:ilvl="0">
      <w:start w:val="1"/>
      <w:numFmt w:val="decimal"/>
      <w:pStyle w:val="a"/>
      <w:suff w:val="nothing"/>
      <w:lvlText w:val="%1．"/>
      <w:lvlJc w:val="left"/>
      <w:pPr>
        <w:ind w:left="0" w:firstLine="400"/>
      </w:pPr>
      <w:rPr>
        <w:rFonts w:ascii="仿宋_GB2312" w:eastAsia="仿宋_GB2312" w:hAnsi="仿宋_GB2312" w:cs="仿宋_GB2312" w:hint="default"/>
      </w:rPr>
    </w:lvl>
  </w:abstractNum>
  <w:num w:numId="1">
    <w:abstractNumId w:val="6"/>
  </w:num>
  <w:num w:numId="2">
    <w:abstractNumId w:val="1"/>
  </w:num>
  <w:num w:numId="3">
    <w:abstractNumId w:val="2"/>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kNWI5NzMxMDc2N2VlYWFkNzQwNWM0ODU0YTI0Y2UifQ=="/>
  </w:docVars>
  <w:rsids>
    <w:rsidRoot w:val="00B91EAD"/>
    <w:rsid w:val="000545D3"/>
    <w:rsid w:val="000E08DC"/>
    <w:rsid w:val="001439D3"/>
    <w:rsid w:val="00276630"/>
    <w:rsid w:val="002F32D3"/>
    <w:rsid w:val="004A64DE"/>
    <w:rsid w:val="00573298"/>
    <w:rsid w:val="00577DBA"/>
    <w:rsid w:val="0062301C"/>
    <w:rsid w:val="007319D3"/>
    <w:rsid w:val="00753E37"/>
    <w:rsid w:val="007A480B"/>
    <w:rsid w:val="007B7754"/>
    <w:rsid w:val="00B91EAD"/>
    <w:rsid w:val="00C219D9"/>
    <w:rsid w:val="00C83A89"/>
    <w:rsid w:val="00D0574B"/>
    <w:rsid w:val="00D6701A"/>
    <w:rsid w:val="00E42073"/>
    <w:rsid w:val="00E76E80"/>
    <w:rsid w:val="00E97C48"/>
    <w:rsid w:val="00F27FEE"/>
    <w:rsid w:val="03A75853"/>
    <w:rsid w:val="06540450"/>
    <w:rsid w:val="094B0D05"/>
    <w:rsid w:val="0D2C4337"/>
    <w:rsid w:val="12A93488"/>
    <w:rsid w:val="1DE31CC5"/>
    <w:rsid w:val="1E5E57C0"/>
    <w:rsid w:val="1EC66B01"/>
    <w:rsid w:val="2239426F"/>
    <w:rsid w:val="25B14D18"/>
    <w:rsid w:val="27335D35"/>
    <w:rsid w:val="415777EA"/>
    <w:rsid w:val="520004DA"/>
    <w:rsid w:val="55CF2541"/>
    <w:rsid w:val="69ED1D1B"/>
    <w:rsid w:val="7B031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C0686C"/>
  <w15:docId w15:val="{7290D667-346C-46C0-8192-D8A755D6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footer" w:uiPriority="99"/>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Calibri" w:eastAsia="宋体" w:hAnsi="Calibri" w:cs="宋体"/>
      <w:kern w:val="2"/>
      <w:sz w:val="21"/>
      <w:szCs w:val="24"/>
    </w:rPr>
  </w:style>
  <w:style w:type="paragraph" w:styleId="4">
    <w:name w:val="heading 4"/>
    <w:basedOn w:val="a0"/>
    <w:next w:val="a0"/>
    <w:uiPriority w:val="9"/>
    <w:unhideWhenUsed/>
    <w:qFormat/>
    <w:pPr>
      <w:keepNext/>
      <w:keepLines/>
      <w:spacing w:line="560" w:lineRule="exact"/>
      <w:ind w:firstLineChars="200" w:firstLine="880"/>
      <w:outlineLvl w:val="3"/>
    </w:pPr>
    <w:rPr>
      <w:rFonts w:ascii="Times New Roman" w:eastAsia="仿宋_GB2312" w:hAnsi="Times New Roman" w:cstheme="majorBidi"/>
      <w:bCs/>
      <w:sz w:val="3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uiPriority w:val="1"/>
    <w:qFormat/>
    <w:pPr>
      <w:spacing w:after="120"/>
    </w:pPr>
  </w:style>
  <w:style w:type="paragraph" w:styleId="40">
    <w:name w:val="index 4"/>
    <w:basedOn w:val="a0"/>
    <w:next w:val="a0"/>
    <w:qFormat/>
    <w:pPr>
      <w:spacing w:before="100"/>
      <w:ind w:left="960" w:hanging="240"/>
      <w:jc w:val="center"/>
    </w:pPr>
    <w:rPr>
      <w:rFonts w:ascii="仿宋_GB2312" w:eastAsia="仿宋_GB2312" w:cs="Mangal"/>
      <w:color w:val="000000"/>
      <w:kern w:val="0"/>
      <w:sz w:val="28"/>
      <w:szCs w:val="28"/>
    </w:rPr>
  </w:style>
  <w:style w:type="table" w:styleId="a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Paragraph"/>
    <w:basedOn w:val="a0"/>
    <w:autoRedefine/>
    <w:uiPriority w:val="34"/>
    <w:qFormat/>
    <w:pPr>
      <w:numPr>
        <w:numId w:val="1"/>
      </w:numPr>
      <w:adjustRightInd w:val="0"/>
      <w:snapToGrid w:val="0"/>
      <w:spacing w:line="560" w:lineRule="exact"/>
    </w:pPr>
  </w:style>
  <w:style w:type="paragraph" w:customStyle="1" w:styleId="a6">
    <w:name w:val="表"/>
    <w:basedOn w:val="a4"/>
    <w:next w:val="a4"/>
    <w:qFormat/>
  </w:style>
  <w:style w:type="paragraph" w:customStyle="1" w:styleId="1">
    <w:name w:val="修订1"/>
    <w:hidden/>
    <w:uiPriority w:val="99"/>
    <w:unhideWhenUsed/>
    <w:qFormat/>
    <w:rPr>
      <w:rFonts w:ascii="Calibri" w:eastAsia="宋体" w:hAnsi="Calibri" w:cs="宋体"/>
      <w:kern w:val="2"/>
      <w:sz w:val="21"/>
      <w:szCs w:val="24"/>
    </w:rPr>
  </w:style>
  <w:style w:type="paragraph" w:styleId="a7">
    <w:name w:val="header"/>
    <w:basedOn w:val="a0"/>
    <w:link w:val="a8"/>
    <w:rsid w:val="007A480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rsid w:val="007A480B"/>
    <w:rPr>
      <w:rFonts w:ascii="Calibri" w:eastAsia="宋体" w:hAnsi="Calibri" w:cs="宋体"/>
      <w:kern w:val="2"/>
      <w:sz w:val="18"/>
      <w:szCs w:val="18"/>
    </w:rPr>
  </w:style>
  <w:style w:type="paragraph" w:styleId="a9">
    <w:name w:val="footer"/>
    <w:basedOn w:val="a0"/>
    <w:link w:val="aa"/>
    <w:uiPriority w:val="99"/>
    <w:rsid w:val="007A480B"/>
    <w:pPr>
      <w:tabs>
        <w:tab w:val="center" w:pos="4153"/>
        <w:tab w:val="right" w:pos="8306"/>
      </w:tabs>
      <w:snapToGrid w:val="0"/>
      <w:jc w:val="left"/>
    </w:pPr>
    <w:rPr>
      <w:sz w:val="18"/>
      <w:szCs w:val="18"/>
    </w:rPr>
  </w:style>
  <w:style w:type="character" w:customStyle="1" w:styleId="aa">
    <w:name w:val="页脚 字符"/>
    <w:basedOn w:val="a1"/>
    <w:link w:val="a9"/>
    <w:uiPriority w:val="99"/>
    <w:rsid w:val="007A480B"/>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863</Words>
  <Characters>4925</Characters>
  <Application>Microsoft Office Word</Application>
  <DocSecurity>0</DocSecurity>
  <Lines>41</Lines>
  <Paragraphs>11</Paragraphs>
  <ScaleCrop>false</ScaleCrop>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15117</dc:creator>
  <cp:lastModifiedBy>庞瑞卿</cp:lastModifiedBy>
  <cp:revision>16</cp:revision>
  <dcterms:created xsi:type="dcterms:W3CDTF">2024-10-18T06:42:00Z</dcterms:created>
  <dcterms:modified xsi:type="dcterms:W3CDTF">2024-12-27T12:44:00Z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1EFE020E75484305B82A848F90ADB5E7_12</vt:lpwstr>
  </property>
</Properties>
</file>