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2514" w14:textId="77777777" w:rsidR="00B515B5" w:rsidRDefault="00553CBA">
      <w:pPr>
        <w:spacing w:beforeLines="50" w:before="156" w:afterLines="100" w:after="312" w:line="560" w:lineRule="exact"/>
        <w:outlineLvl w:val="0"/>
        <w:rPr>
          <w:rFonts w:ascii="黑体" w:eastAsia="黑体" w:hAnsi="黑体"/>
          <w:sz w:val="32"/>
          <w:szCs w:val="32"/>
        </w:rPr>
      </w:pPr>
      <w:bookmarkStart w:id="0" w:name="_Toc17144"/>
      <w:bookmarkStart w:id="1" w:name="_Toc9577"/>
      <w:bookmarkStart w:id="2" w:name="_Toc12151"/>
      <w:bookmarkStart w:id="3" w:name="_Toc393"/>
      <w:bookmarkStart w:id="4" w:name="_Toc2981"/>
      <w:bookmarkStart w:id="5" w:name="_Toc24698"/>
      <w:bookmarkStart w:id="6" w:name="_Toc623"/>
      <w:bookmarkStart w:id="7" w:name="_Toc3608"/>
      <w:bookmarkStart w:id="8" w:name="_Toc21448"/>
      <w:bookmarkStart w:id="9" w:name="_Toc23218"/>
      <w:bookmarkStart w:id="10" w:name="_Toc20159"/>
      <w:bookmarkStart w:id="11" w:name="_Toc14665"/>
      <w:bookmarkStart w:id="12" w:name="_Toc7425"/>
      <w:bookmarkStart w:id="13" w:name="_Toc18170"/>
      <w:r>
        <w:rPr>
          <w:rFonts w:ascii="黑体" w:eastAsia="黑体" w:hAnsi="黑体" w:hint="eastAsia"/>
          <w:sz w:val="32"/>
          <w:szCs w:val="32"/>
        </w:rPr>
        <w:t>附录3:</w:t>
      </w:r>
      <w:bookmarkEnd w:id="0"/>
      <w:bookmarkEnd w:id="1"/>
      <w:bookmarkEnd w:id="2"/>
      <w:bookmarkEnd w:id="3"/>
      <w:bookmarkEnd w:id="4"/>
      <w:bookmarkEnd w:id="5"/>
      <w:bookmarkEnd w:id="6"/>
      <w:bookmarkEnd w:id="7"/>
      <w:bookmarkEnd w:id="8"/>
      <w:bookmarkEnd w:id="9"/>
      <w:bookmarkEnd w:id="10"/>
      <w:bookmarkEnd w:id="11"/>
      <w:bookmarkEnd w:id="12"/>
      <w:bookmarkEnd w:id="13"/>
    </w:p>
    <w:p w14:paraId="44752265" w14:textId="77777777" w:rsidR="00B515B5" w:rsidRDefault="00553CBA">
      <w:pPr>
        <w:spacing w:afterLines="100" w:after="312" w:line="56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控制系统检查要点</w:t>
      </w:r>
    </w:p>
    <w:p w14:paraId="5DD18ACB" w14:textId="77777777" w:rsidR="00B515B5" w:rsidRDefault="00553CBA">
      <w:pPr>
        <w:numPr>
          <w:ilvl w:val="0"/>
          <w:numId w:val="2"/>
        </w:numPr>
        <w:jc w:val="center"/>
        <w:outlineLvl w:val="0"/>
        <w:rPr>
          <w:rFonts w:ascii="黑体" w:eastAsia="黑体" w:hAnsi="黑体"/>
          <w:sz w:val="36"/>
          <w:szCs w:val="36"/>
        </w:rPr>
      </w:pPr>
      <w:bookmarkStart w:id="14" w:name="_Toc32637"/>
      <w:bookmarkStart w:id="15" w:name="_Toc31922"/>
      <w:bookmarkStart w:id="16" w:name="_Toc18224"/>
      <w:bookmarkStart w:id="17" w:name="_Toc24552"/>
      <w:bookmarkStart w:id="18" w:name="_Toc20915"/>
      <w:bookmarkStart w:id="19" w:name="_Toc22944"/>
      <w:bookmarkStart w:id="20" w:name="_Toc7129"/>
      <w:bookmarkStart w:id="21" w:name="_Toc20681"/>
      <w:bookmarkStart w:id="22" w:name="_Toc10520"/>
      <w:bookmarkStart w:id="23" w:name="_Toc10692"/>
      <w:bookmarkStart w:id="24" w:name="_Toc26562"/>
      <w:bookmarkStart w:id="25" w:name="_Toc1851"/>
      <w:bookmarkStart w:id="26" w:name="_Toc29933"/>
      <w:bookmarkStart w:id="27" w:name="_Toc21608"/>
      <w:r>
        <w:rPr>
          <w:rFonts w:ascii="黑体" w:eastAsia="黑体" w:hAnsi="黑体" w:hint="eastAsia"/>
          <w:sz w:val="36"/>
          <w:szCs w:val="36"/>
        </w:rPr>
        <w:t>加速器控制系统</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D4C7973" w14:textId="502DD4E2" w:rsidR="00B515B5" w:rsidRPr="00E34AAD" w:rsidRDefault="00E34AAD" w:rsidP="00E34AAD">
      <w:pPr>
        <w:jc w:val="center"/>
        <w:outlineLvl w:val="0"/>
        <w:rPr>
          <w:rFonts w:ascii="仿宋_GB2312" w:eastAsia="仿宋_GB2312" w:hAnsi="黑体"/>
          <w:sz w:val="36"/>
          <w:szCs w:val="36"/>
        </w:rPr>
      </w:pPr>
      <w:r w:rsidRPr="00E34AAD">
        <w:rPr>
          <w:rFonts w:ascii="仿宋_GB2312" w:eastAsia="仿宋_GB2312" w:hAnsi="黑体" w:hint="eastAsia"/>
          <w:sz w:val="36"/>
          <w:szCs w:val="36"/>
        </w:rPr>
        <w:t>（征求意见稿）</w:t>
      </w:r>
    </w:p>
    <w:p w14:paraId="4AC678E5" w14:textId="77777777" w:rsidR="00B515B5" w:rsidRDefault="00553CBA">
      <w:pPr>
        <w:numPr>
          <w:ilvl w:val="0"/>
          <w:numId w:val="3"/>
        </w:numPr>
        <w:spacing w:line="560" w:lineRule="exact"/>
        <w:outlineLvl w:val="1"/>
        <w:rPr>
          <w:rFonts w:ascii="黑体" w:eastAsia="黑体" w:hAnsi="黑体" w:cs="黑体"/>
          <w:sz w:val="32"/>
          <w:szCs w:val="32"/>
        </w:rPr>
      </w:pPr>
      <w:bookmarkStart w:id="28" w:name="_Toc13380"/>
      <w:bookmarkStart w:id="29" w:name="_Toc15174"/>
      <w:bookmarkStart w:id="30" w:name="_Toc2424"/>
      <w:bookmarkStart w:id="31" w:name="_Toc26882"/>
      <w:bookmarkStart w:id="32" w:name="_Toc9393"/>
      <w:bookmarkStart w:id="33" w:name="_Toc5976"/>
      <w:bookmarkStart w:id="34" w:name="_Toc3786"/>
      <w:bookmarkStart w:id="35" w:name="_Toc22395"/>
      <w:bookmarkStart w:id="36" w:name="_Toc8583"/>
      <w:bookmarkStart w:id="37" w:name="_Toc27679"/>
      <w:bookmarkStart w:id="38" w:name="_Toc6721"/>
      <w:bookmarkStart w:id="39" w:name="_Toc4977"/>
      <w:bookmarkStart w:id="40" w:name="_Toc870"/>
      <w:bookmarkStart w:id="41" w:name="_Toc22077"/>
      <w:r>
        <w:rPr>
          <w:rFonts w:ascii="黑体" w:eastAsia="黑体" w:hAnsi="黑体" w:cs="黑体" w:hint="eastAsia"/>
          <w:sz w:val="32"/>
          <w:szCs w:val="32"/>
        </w:rPr>
        <w:t>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B18B94A" w14:textId="77777777" w:rsidR="00B515B5" w:rsidRDefault="00553CBA">
      <w:pPr>
        <w:numPr>
          <w:ilvl w:val="0"/>
          <w:numId w:val="4"/>
        </w:numPr>
        <w:spacing w:line="560" w:lineRule="exact"/>
        <w:ind w:firstLineChars="200" w:firstLine="640"/>
        <w:outlineLvl w:val="2"/>
        <w:rPr>
          <w:rFonts w:ascii="楷体_GB2312" w:eastAsia="楷体_GB2312" w:hAnsi="楷体_GB2312" w:cs="楷体_GB2312"/>
          <w:sz w:val="32"/>
          <w:szCs w:val="32"/>
        </w:rPr>
      </w:pPr>
      <w:bookmarkStart w:id="42" w:name="_Toc16914"/>
      <w:bookmarkStart w:id="43" w:name="_Toc26662"/>
      <w:bookmarkStart w:id="44" w:name="_Toc23940"/>
      <w:bookmarkStart w:id="45" w:name="_Toc25385"/>
      <w:bookmarkStart w:id="46" w:name="_Toc14971"/>
      <w:bookmarkStart w:id="47" w:name="_Toc14435"/>
      <w:bookmarkStart w:id="48" w:name="_Toc26609"/>
      <w:bookmarkStart w:id="49" w:name="_Toc30156"/>
      <w:bookmarkStart w:id="50" w:name="_Toc753"/>
      <w:bookmarkStart w:id="51" w:name="_Toc15182"/>
      <w:bookmarkStart w:id="52" w:name="_Toc19059"/>
      <w:bookmarkStart w:id="53" w:name="_Toc32158"/>
      <w:bookmarkStart w:id="54" w:name="_Toc31188"/>
      <w:bookmarkStart w:id="55" w:name="_Toc3417"/>
      <w:r>
        <w:rPr>
          <w:rFonts w:ascii="楷体_GB2312" w:eastAsia="楷体_GB2312" w:hAnsi="楷体_GB2312" w:cs="楷体_GB2312" w:hint="eastAsia"/>
          <w:sz w:val="32"/>
          <w:szCs w:val="32"/>
        </w:rPr>
        <w:t>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E892C64" w14:textId="77777777" w:rsidR="00B515B5" w:rsidRDefault="00553CBA">
      <w:pPr>
        <w:spacing w:line="560" w:lineRule="exact"/>
        <w:ind w:firstLineChars="253" w:firstLine="810"/>
        <w:rPr>
          <w:rFonts w:ascii="仿宋_GB2312" w:eastAsia="仿宋_GB2312" w:hAnsi="Arial" w:cs="Arial"/>
          <w:sz w:val="32"/>
          <w:szCs w:val="32"/>
        </w:rPr>
      </w:pPr>
      <w:r>
        <w:rPr>
          <w:rFonts w:ascii="仿宋_GB2312" w:eastAsia="仿宋_GB2312" w:hAnsi="Arial" w:cs="Arial" w:hint="eastAsia"/>
          <w:sz w:val="32"/>
          <w:szCs w:val="32"/>
        </w:rPr>
        <w:t>加速器控制系统软件通过与控制设备的协同作用，实现磁铁电源监控、真空系统状态监控、定时触发、联锁保护和中央监控等功能，并为操作人员提供可视化的人机交互界面。</w:t>
      </w:r>
    </w:p>
    <w:p w14:paraId="2F78D05F" w14:textId="77777777" w:rsidR="00B515B5" w:rsidRDefault="00553CBA">
      <w:pPr>
        <w:numPr>
          <w:ilvl w:val="0"/>
          <w:numId w:val="4"/>
        </w:numPr>
        <w:spacing w:line="560" w:lineRule="exact"/>
        <w:ind w:firstLineChars="200" w:firstLine="640"/>
        <w:outlineLvl w:val="2"/>
        <w:rPr>
          <w:rFonts w:ascii="楷体_GB2312" w:eastAsia="楷体_GB2312" w:hAnsi="楷体_GB2312" w:cs="楷体_GB2312"/>
          <w:sz w:val="32"/>
          <w:szCs w:val="32"/>
        </w:rPr>
      </w:pPr>
      <w:bookmarkStart w:id="56" w:name="_Toc13226"/>
      <w:bookmarkStart w:id="57" w:name="_Toc3959"/>
      <w:bookmarkStart w:id="58" w:name="_Toc32424"/>
      <w:bookmarkStart w:id="59" w:name="_Toc22708"/>
      <w:bookmarkStart w:id="60" w:name="_Toc2446"/>
      <w:bookmarkStart w:id="61" w:name="_Toc20699"/>
      <w:bookmarkStart w:id="62" w:name="_Toc15484"/>
      <w:bookmarkStart w:id="63" w:name="_Toc26942"/>
      <w:bookmarkStart w:id="64" w:name="_Toc19288"/>
      <w:bookmarkStart w:id="65" w:name="_Toc28289"/>
      <w:bookmarkStart w:id="66" w:name="_Toc16622"/>
      <w:bookmarkStart w:id="67" w:name="_Toc773"/>
      <w:bookmarkStart w:id="68" w:name="_Toc25680"/>
      <w:bookmarkStart w:id="69" w:name="_Toc13276"/>
      <w:r>
        <w:rPr>
          <w:rFonts w:ascii="楷体_GB2312" w:eastAsia="楷体_GB2312" w:hAnsi="楷体_GB2312" w:cs="楷体_GB2312" w:hint="eastAsia"/>
          <w:sz w:val="32"/>
          <w:szCs w:val="32"/>
        </w:rPr>
        <w:t>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8DE9066" w14:textId="77777777" w:rsidR="00B515B5" w:rsidRDefault="00553CBA">
      <w:pPr>
        <w:spacing w:line="560" w:lineRule="exact"/>
        <w:ind w:firstLineChars="253" w:firstLine="810"/>
        <w:rPr>
          <w:rFonts w:ascii="仿宋_GB2312" w:eastAsia="仿宋_GB2312" w:hAnsi="Arial" w:cs="Arial"/>
          <w:sz w:val="32"/>
          <w:szCs w:val="32"/>
        </w:rPr>
      </w:pPr>
      <w:r>
        <w:rPr>
          <w:rFonts w:ascii="仿宋_GB2312" w:eastAsia="仿宋_GB2312" w:hAnsi="Arial" w:cs="Arial" w:hint="eastAsia"/>
          <w:sz w:val="32"/>
          <w:szCs w:val="32"/>
        </w:rPr>
        <w:t>加速器控制系统软件是作为加速器的可视化软件，实时显示加速器各子系统设备运行参数、运行状态、故障报警信息等，实现加速器设备参数、状态、历史信息的存储、查找及分析，为物理人员提供在线监测、分析手段，提供设备运行状态。操作人员通过加速器控制系统软件的人机界面对加速器运行状态进行监控，按照加速器运行的需求，实现加速器内束流的产生、注入、加速、累积、引出，同时通过调整磁铁电源的电流来控制束流轨道，实现加速器的调试。</w:t>
      </w:r>
    </w:p>
    <w:p w14:paraId="1D566243" w14:textId="77777777" w:rsidR="00B515B5" w:rsidRDefault="00553CBA">
      <w:pPr>
        <w:numPr>
          <w:ilvl w:val="0"/>
          <w:numId w:val="4"/>
        </w:numPr>
        <w:spacing w:line="560" w:lineRule="exact"/>
        <w:ind w:firstLineChars="200" w:firstLine="640"/>
        <w:outlineLvl w:val="2"/>
        <w:rPr>
          <w:rFonts w:ascii="楷体_GB2312" w:eastAsia="楷体_GB2312" w:hAnsi="楷体_GB2312" w:cs="楷体_GB2312"/>
          <w:sz w:val="32"/>
          <w:szCs w:val="32"/>
        </w:rPr>
      </w:pPr>
      <w:bookmarkStart w:id="70" w:name="_Toc4007"/>
      <w:bookmarkStart w:id="71" w:name="_Toc30081"/>
      <w:bookmarkStart w:id="72" w:name="_Toc4299"/>
      <w:bookmarkStart w:id="73" w:name="_Toc19028"/>
      <w:bookmarkStart w:id="74" w:name="_Toc19915"/>
      <w:bookmarkStart w:id="75" w:name="_Toc27630"/>
      <w:bookmarkStart w:id="76" w:name="_Toc12675"/>
      <w:bookmarkStart w:id="77" w:name="_Toc1863"/>
      <w:bookmarkStart w:id="78" w:name="_Toc20907"/>
      <w:bookmarkStart w:id="79" w:name="_Toc26604"/>
      <w:bookmarkStart w:id="80" w:name="_Toc19634"/>
      <w:bookmarkStart w:id="81" w:name="_Toc17868"/>
      <w:bookmarkStart w:id="82" w:name="_Toc8802"/>
      <w:bookmarkStart w:id="83" w:name="_Toc25055"/>
      <w:r>
        <w:rPr>
          <w:rFonts w:ascii="楷体_GB2312" w:eastAsia="楷体_GB2312" w:hAnsi="楷体_GB2312" w:cs="楷体_GB2312" w:hint="eastAsia"/>
          <w:sz w:val="32"/>
          <w:szCs w:val="32"/>
        </w:rPr>
        <w:t>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6046994" w14:textId="77777777" w:rsidR="00B515B5" w:rsidRDefault="00553CBA">
      <w:pPr>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加速器控制系统软件结构模块包括：中央定时系统、电源系统监控、联锁</w:t>
      </w:r>
      <w:r>
        <w:rPr>
          <w:rFonts w:eastAsia="仿宋_GB2312" w:cs="Calibri" w:hint="eastAsia"/>
          <w:sz w:val="32"/>
          <w:szCs w:val="32"/>
        </w:rPr>
        <w:t>系统</w:t>
      </w:r>
      <w:r>
        <w:rPr>
          <w:rFonts w:ascii="仿宋_GB2312" w:eastAsia="仿宋_GB2312" w:hAnsi="Arial" w:cs="Arial" w:hint="eastAsia"/>
          <w:sz w:val="32"/>
          <w:szCs w:val="32"/>
        </w:rPr>
        <w:t>、真空系统监控、冷却水监测、系统管理等，各模块之间能够基于中央监控系统的集成进行数据</w:t>
      </w:r>
      <w:r>
        <w:rPr>
          <w:rFonts w:ascii="仿宋_GB2312" w:eastAsia="仿宋_GB2312" w:hAnsi="Arial" w:cs="Arial" w:hint="eastAsia"/>
          <w:sz w:val="32"/>
          <w:szCs w:val="32"/>
        </w:rPr>
        <w:lastRenderedPageBreak/>
        <w:t>交互，进而实现对加速器被控设备的集成调试与监测功能。</w:t>
      </w:r>
    </w:p>
    <w:p w14:paraId="4252FFF3" w14:textId="77777777" w:rsidR="00B515B5" w:rsidRDefault="00553CBA">
      <w:pPr>
        <w:numPr>
          <w:ilvl w:val="0"/>
          <w:numId w:val="3"/>
        </w:numPr>
        <w:spacing w:line="560" w:lineRule="exact"/>
        <w:outlineLvl w:val="1"/>
        <w:rPr>
          <w:rFonts w:ascii="仿宋_GB2312" w:hAnsi="Arial" w:cs="Arial"/>
          <w:sz w:val="32"/>
          <w:szCs w:val="32"/>
        </w:rPr>
      </w:pPr>
      <w:r>
        <w:rPr>
          <w:rFonts w:ascii="黑体" w:eastAsia="黑体" w:hAnsi="黑体" w:cs="黑体" w:hint="eastAsia"/>
          <w:sz w:val="32"/>
          <w:szCs w:val="32"/>
        </w:rPr>
        <w:t>主要技术指标</w:t>
      </w:r>
    </w:p>
    <w:p w14:paraId="525E167E" w14:textId="77777777" w:rsidR="00B515B5" w:rsidRDefault="00553CBA">
      <w:pPr>
        <w:numPr>
          <w:ilvl w:val="255"/>
          <w:numId w:val="0"/>
        </w:numPr>
        <w:spacing w:line="560" w:lineRule="exact"/>
        <w:jc w:val="center"/>
        <w:outlineLvl w:val="1"/>
        <w:rPr>
          <w:rFonts w:ascii="仿宋_GB2312" w:hAnsi="Arial" w:cs="Arial"/>
          <w:sz w:val="32"/>
          <w:szCs w:val="32"/>
        </w:rPr>
      </w:pPr>
      <w:r>
        <w:rPr>
          <w:rFonts w:ascii="仿宋_GB2312" w:eastAsia="仿宋_GB2312" w:hAnsi="仿宋_GB2312" w:cs="仿宋_GB2312" w:hint="eastAsia"/>
          <w:sz w:val="30"/>
          <w:szCs w:val="30"/>
        </w:rPr>
        <w:t>表1 加速器控制系统主要技术指标</w:t>
      </w:r>
    </w:p>
    <w:tbl>
      <w:tblPr>
        <w:tblStyle w:val="a5"/>
        <w:tblW w:w="9126" w:type="dxa"/>
        <w:jc w:val="center"/>
        <w:tblLook w:val="04A0" w:firstRow="1" w:lastRow="0" w:firstColumn="1" w:lastColumn="0" w:noHBand="0" w:noVBand="1"/>
      </w:tblPr>
      <w:tblGrid>
        <w:gridCol w:w="794"/>
        <w:gridCol w:w="1847"/>
        <w:gridCol w:w="4090"/>
        <w:gridCol w:w="2395"/>
      </w:tblGrid>
      <w:tr w:rsidR="00B515B5" w14:paraId="4301CBBD" w14:textId="77777777">
        <w:trPr>
          <w:tblHeader/>
          <w:jc w:val="center"/>
        </w:trPr>
        <w:tc>
          <w:tcPr>
            <w:tcW w:w="794" w:type="dxa"/>
            <w:vAlign w:val="center"/>
          </w:tcPr>
          <w:p w14:paraId="41C4C794" w14:textId="77777777" w:rsidR="00B515B5" w:rsidRDefault="00553CBA">
            <w:pPr>
              <w:autoSpaceDE w:val="0"/>
              <w:autoSpaceDN w:val="0"/>
              <w:ind w:rightChars="30" w:right="63"/>
              <w:jc w:val="center"/>
              <w:rPr>
                <w:rFonts w:ascii="仿宋_GB2312" w:eastAsia="仿宋_GB2312" w:hAnsi="Arial" w:cs="Arial"/>
                <w:b/>
                <w:bCs/>
                <w:sz w:val="24"/>
              </w:rPr>
            </w:pPr>
            <w:bookmarkStart w:id="84" w:name="OLE_LINK1"/>
            <w:r>
              <w:rPr>
                <w:rFonts w:ascii="仿宋_GB2312" w:eastAsia="仿宋_GB2312" w:hAnsi="Arial" w:cs="Arial" w:hint="eastAsia"/>
                <w:b/>
                <w:bCs/>
                <w:sz w:val="24"/>
              </w:rPr>
              <w:t>序号</w:t>
            </w:r>
          </w:p>
        </w:tc>
        <w:tc>
          <w:tcPr>
            <w:tcW w:w="1847" w:type="dxa"/>
            <w:vAlign w:val="center"/>
          </w:tcPr>
          <w:p w14:paraId="3529427F" w14:textId="77777777" w:rsidR="00B515B5" w:rsidRDefault="00553CBA">
            <w:pPr>
              <w:autoSpaceDE w:val="0"/>
              <w:autoSpaceDN w:val="0"/>
              <w:ind w:rightChars="30" w:right="63"/>
              <w:jc w:val="center"/>
              <w:rPr>
                <w:rFonts w:ascii="仿宋_GB2312" w:eastAsia="仿宋_GB2312" w:hAnsi="Arial" w:cs="Arial"/>
                <w:b/>
                <w:bCs/>
                <w:sz w:val="24"/>
              </w:rPr>
            </w:pPr>
            <w:r>
              <w:rPr>
                <w:rFonts w:ascii="仿宋_GB2312" w:eastAsia="仿宋_GB2312" w:hAnsi="Arial" w:cs="Arial" w:hint="eastAsia"/>
                <w:b/>
                <w:bCs/>
                <w:sz w:val="24"/>
              </w:rPr>
              <w:t>检验项目</w:t>
            </w:r>
          </w:p>
        </w:tc>
        <w:tc>
          <w:tcPr>
            <w:tcW w:w="4090" w:type="dxa"/>
            <w:vAlign w:val="center"/>
          </w:tcPr>
          <w:p w14:paraId="0AE8DD41" w14:textId="77777777" w:rsidR="00B515B5" w:rsidRDefault="00553CBA">
            <w:pPr>
              <w:autoSpaceDE w:val="0"/>
              <w:autoSpaceDN w:val="0"/>
              <w:ind w:rightChars="30" w:right="63"/>
              <w:jc w:val="center"/>
              <w:rPr>
                <w:rFonts w:ascii="仿宋_GB2312" w:eastAsia="仿宋_GB2312" w:hAnsi="Arial" w:cs="Arial"/>
                <w:b/>
                <w:bCs/>
                <w:sz w:val="24"/>
              </w:rPr>
            </w:pPr>
            <w:r>
              <w:rPr>
                <w:rFonts w:ascii="仿宋_GB2312" w:eastAsia="仿宋_GB2312" w:hAnsi="Arial" w:cs="Arial" w:hint="eastAsia"/>
                <w:b/>
                <w:bCs/>
                <w:sz w:val="24"/>
              </w:rPr>
              <w:t>主要控制指标</w:t>
            </w:r>
          </w:p>
        </w:tc>
        <w:tc>
          <w:tcPr>
            <w:tcW w:w="2395" w:type="dxa"/>
            <w:vAlign w:val="center"/>
          </w:tcPr>
          <w:p w14:paraId="7B85529C" w14:textId="77777777" w:rsidR="00B515B5" w:rsidRDefault="00553CBA">
            <w:pPr>
              <w:autoSpaceDE w:val="0"/>
              <w:autoSpaceDN w:val="0"/>
              <w:ind w:rightChars="30" w:right="63"/>
              <w:jc w:val="center"/>
              <w:rPr>
                <w:rFonts w:ascii="仿宋_GB2312" w:eastAsia="仿宋_GB2312" w:hAnsi="Arial" w:cs="Arial"/>
                <w:b/>
                <w:bCs/>
                <w:sz w:val="24"/>
              </w:rPr>
            </w:pPr>
            <w:r>
              <w:rPr>
                <w:rFonts w:ascii="仿宋_GB2312" w:eastAsia="仿宋_GB2312" w:hAnsi="Arial" w:cs="Arial" w:hint="eastAsia"/>
                <w:b/>
                <w:bCs/>
                <w:sz w:val="24"/>
              </w:rPr>
              <w:t>检验方法</w:t>
            </w:r>
          </w:p>
        </w:tc>
      </w:tr>
      <w:tr w:rsidR="00B515B5" w14:paraId="62A44261" w14:textId="77777777">
        <w:trPr>
          <w:trHeight w:val="636"/>
          <w:jc w:val="center"/>
        </w:trPr>
        <w:tc>
          <w:tcPr>
            <w:tcW w:w="794" w:type="dxa"/>
            <w:vAlign w:val="center"/>
          </w:tcPr>
          <w:p w14:paraId="37B42AEE" w14:textId="77777777" w:rsidR="00B515B5" w:rsidRDefault="00B515B5">
            <w:pPr>
              <w:numPr>
                <w:ilvl w:val="0"/>
                <w:numId w:val="5"/>
              </w:numPr>
              <w:autoSpaceDE w:val="0"/>
              <w:autoSpaceDN w:val="0"/>
              <w:ind w:firstLine="0"/>
              <w:jc w:val="center"/>
              <w:rPr>
                <w:rFonts w:ascii="仿宋_GB2312" w:eastAsia="仿宋_GB2312" w:hAnsi="仿宋_GB2312" w:cs="仿宋_GB2312"/>
                <w:sz w:val="24"/>
              </w:rPr>
            </w:pPr>
          </w:p>
        </w:tc>
        <w:tc>
          <w:tcPr>
            <w:tcW w:w="1847" w:type="dxa"/>
            <w:vAlign w:val="center"/>
          </w:tcPr>
          <w:p w14:paraId="5C371AB4" w14:textId="77777777" w:rsidR="00B515B5" w:rsidRDefault="00553CBA">
            <w:pPr>
              <w:autoSpaceDE w:val="0"/>
              <w:autoSpaceDN w:val="0"/>
              <w:ind w:rightChars="30" w:right="63"/>
              <w:jc w:val="center"/>
              <w:rPr>
                <w:rFonts w:ascii="仿宋" w:eastAsia="仿宋" w:hAnsi="仿宋" w:cs="仿宋"/>
                <w:sz w:val="24"/>
              </w:rPr>
            </w:pPr>
            <w:r>
              <w:rPr>
                <w:rFonts w:ascii="仿宋" w:eastAsia="仿宋" w:hAnsi="仿宋" w:cs="仿宋" w:hint="eastAsia"/>
                <w:sz w:val="24"/>
              </w:rPr>
              <w:t>软件环境</w:t>
            </w:r>
          </w:p>
        </w:tc>
        <w:tc>
          <w:tcPr>
            <w:tcW w:w="4090" w:type="dxa"/>
          </w:tcPr>
          <w:p w14:paraId="1BA8BF9F" w14:textId="77777777" w:rsidR="00B515B5" w:rsidRDefault="00553CBA">
            <w:pPr>
              <w:autoSpaceDE w:val="0"/>
              <w:autoSpaceDN w:val="0"/>
              <w:rPr>
                <w:rFonts w:ascii="仿宋" w:eastAsia="仿宋" w:hAnsi="仿宋" w:cs="仿宋"/>
                <w:sz w:val="24"/>
              </w:rPr>
            </w:pPr>
            <w:r>
              <w:rPr>
                <w:rFonts w:ascii="仿宋" w:eastAsia="仿宋" w:hAnsi="仿宋" w:cs="仿宋" w:hint="eastAsia"/>
                <w:sz w:val="24"/>
              </w:rPr>
              <w:t>技术文件中应提供加速器控制系统运行环境，包括：服务端、客户端的软件环境和硬件环境及网络环境</w:t>
            </w:r>
          </w:p>
        </w:tc>
        <w:tc>
          <w:tcPr>
            <w:tcW w:w="2395" w:type="dxa"/>
            <w:vAlign w:val="center"/>
          </w:tcPr>
          <w:p w14:paraId="64EAB7E6" w14:textId="77777777" w:rsidR="00B515B5" w:rsidRDefault="00553CBA">
            <w:pPr>
              <w:autoSpaceDE w:val="0"/>
              <w:autoSpaceDN w:val="0"/>
              <w:rPr>
                <w:rFonts w:ascii="仿宋_GB2312" w:eastAsia="仿宋_GB2312" w:hAnsi="仿宋" w:cs="仿宋"/>
                <w:sz w:val="24"/>
              </w:rPr>
            </w:pPr>
            <w:r>
              <w:rPr>
                <w:rFonts w:ascii="仿宋_GB2312" w:eastAsia="仿宋_GB2312" w:hAnsi="仿宋" w:cs="仿宋" w:hint="eastAsia"/>
                <w:sz w:val="24"/>
              </w:rPr>
              <w:t>按照企业制定的规程</w:t>
            </w:r>
          </w:p>
        </w:tc>
      </w:tr>
      <w:tr w:rsidR="00B515B5" w14:paraId="7341903B" w14:textId="77777777">
        <w:trPr>
          <w:trHeight w:val="636"/>
          <w:jc w:val="center"/>
        </w:trPr>
        <w:tc>
          <w:tcPr>
            <w:tcW w:w="794" w:type="dxa"/>
            <w:vAlign w:val="center"/>
          </w:tcPr>
          <w:p w14:paraId="059D365E" w14:textId="77777777" w:rsidR="00B515B5" w:rsidRDefault="00B515B5">
            <w:pPr>
              <w:numPr>
                <w:ilvl w:val="0"/>
                <w:numId w:val="5"/>
              </w:numPr>
              <w:autoSpaceDE w:val="0"/>
              <w:autoSpaceDN w:val="0"/>
              <w:ind w:firstLine="0"/>
              <w:jc w:val="center"/>
              <w:rPr>
                <w:rFonts w:ascii="仿宋_GB2312" w:eastAsia="仿宋_GB2312" w:hAnsi="仿宋_GB2312" w:cs="仿宋_GB2312"/>
                <w:sz w:val="24"/>
              </w:rPr>
            </w:pPr>
          </w:p>
        </w:tc>
        <w:tc>
          <w:tcPr>
            <w:tcW w:w="1847" w:type="dxa"/>
            <w:vAlign w:val="center"/>
          </w:tcPr>
          <w:p w14:paraId="16193471" w14:textId="77777777" w:rsidR="00B515B5" w:rsidRDefault="00553CBA">
            <w:pPr>
              <w:autoSpaceDE w:val="0"/>
              <w:autoSpaceDN w:val="0"/>
              <w:ind w:rightChars="30" w:right="63"/>
              <w:jc w:val="center"/>
              <w:rPr>
                <w:rFonts w:ascii="仿宋" w:eastAsia="仿宋" w:hAnsi="仿宋" w:cs="仿宋"/>
                <w:sz w:val="24"/>
              </w:rPr>
            </w:pPr>
            <w:r>
              <w:rPr>
                <w:rFonts w:ascii="仿宋" w:eastAsia="仿宋" w:hAnsi="仿宋" w:cs="仿宋" w:hint="eastAsia"/>
                <w:sz w:val="24"/>
              </w:rPr>
              <w:t>使用限制</w:t>
            </w:r>
          </w:p>
        </w:tc>
        <w:tc>
          <w:tcPr>
            <w:tcW w:w="4090" w:type="dxa"/>
            <w:vAlign w:val="center"/>
          </w:tcPr>
          <w:p w14:paraId="6D83799C" w14:textId="77777777" w:rsidR="00B515B5" w:rsidRDefault="00553CBA">
            <w:pPr>
              <w:autoSpaceDE w:val="0"/>
              <w:autoSpaceDN w:val="0"/>
              <w:rPr>
                <w:rFonts w:ascii="仿宋" w:eastAsia="仿宋" w:hAnsi="仿宋" w:cs="仿宋"/>
                <w:sz w:val="24"/>
              </w:rPr>
            </w:pPr>
            <w:r>
              <w:rPr>
                <w:rFonts w:ascii="仿宋" w:eastAsia="仿宋" w:hAnsi="仿宋" w:cs="仿宋" w:hint="eastAsia"/>
                <w:sz w:val="24"/>
              </w:rPr>
              <w:t>技术文件中应提供加速器控制系统用户使用限制</w:t>
            </w:r>
          </w:p>
        </w:tc>
        <w:tc>
          <w:tcPr>
            <w:tcW w:w="2395" w:type="dxa"/>
            <w:vAlign w:val="center"/>
          </w:tcPr>
          <w:p w14:paraId="47125267" w14:textId="77777777" w:rsidR="00B515B5" w:rsidRDefault="00553CBA">
            <w:pPr>
              <w:autoSpaceDE w:val="0"/>
              <w:autoSpaceDN w:val="0"/>
              <w:rPr>
                <w:rFonts w:ascii="仿宋_GB2312" w:eastAsia="仿宋_GB2312" w:hAnsi="仿宋" w:cs="仿宋"/>
                <w:sz w:val="24"/>
              </w:rPr>
            </w:pPr>
            <w:r>
              <w:rPr>
                <w:rFonts w:ascii="仿宋_GB2312" w:eastAsia="仿宋_GB2312" w:hAnsi="仿宋" w:cs="仿宋" w:hint="eastAsia"/>
                <w:sz w:val="24"/>
              </w:rPr>
              <w:t>按照企业制定的规程</w:t>
            </w:r>
          </w:p>
        </w:tc>
      </w:tr>
      <w:tr w:rsidR="00B515B5" w14:paraId="75E5ADB0" w14:textId="77777777">
        <w:trPr>
          <w:trHeight w:val="586"/>
          <w:jc w:val="center"/>
        </w:trPr>
        <w:tc>
          <w:tcPr>
            <w:tcW w:w="794" w:type="dxa"/>
            <w:vAlign w:val="center"/>
          </w:tcPr>
          <w:p w14:paraId="58738630" w14:textId="77777777" w:rsidR="00B515B5" w:rsidRDefault="00B515B5">
            <w:pPr>
              <w:numPr>
                <w:ilvl w:val="0"/>
                <w:numId w:val="5"/>
              </w:numPr>
              <w:autoSpaceDE w:val="0"/>
              <w:autoSpaceDN w:val="0"/>
              <w:ind w:firstLine="0"/>
              <w:jc w:val="center"/>
              <w:rPr>
                <w:rFonts w:ascii="仿宋_GB2312" w:eastAsia="仿宋_GB2312" w:hAnsi="仿宋_GB2312" w:cs="仿宋_GB2312"/>
                <w:sz w:val="24"/>
              </w:rPr>
            </w:pPr>
          </w:p>
        </w:tc>
        <w:tc>
          <w:tcPr>
            <w:tcW w:w="1847" w:type="dxa"/>
            <w:vAlign w:val="center"/>
          </w:tcPr>
          <w:p w14:paraId="23E7DD88" w14:textId="77777777" w:rsidR="00B515B5" w:rsidRDefault="00553CBA">
            <w:pPr>
              <w:autoSpaceDE w:val="0"/>
              <w:autoSpaceDN w:val="0"/>
              <w:ind w:rightChars="30" w:right="63"/>
              <w:jc w:val="center"/>
              <w:rPr>
                <w:rFonts w:ascii="仿宋" w:eastAsia="仿宋" w:hAnsi="仿宋" w:cs="仿宋"/>
                <w:sz w:val="24"/>
              </w:rPr>
            </w:pPr>
            <w:r>
              <w:rPr>
                <w:rFonts w:ascii="仿宋" w:eastAsia="仿宋" w:hAnsi="仿宋" w:cs="仿宋" w:hint="eastAsia"/>
                <w:sz w:val="24"/>
              </w:rPr>
              <w:t>数据接口</w:t>
            </w:r>
          </w:p>
        </w:tc>
        <w:tc>
          <w:tcPr>
            <w:tcW w:w="4090" w:type="dxa"/>
            <w:vAlign w:val="center"/>
          </w:tcPr>
          <w:p w14:paraId="505AAEF0" w14:textId="77777777" w:rsidR="00B515B5" w:rsidRDefault="00553CBA">
            <w:pPr>
              <w:autoSpaceDE w:val="0"/>
              <w:autoSpaceDN w:val="0"/>
              <w:rPr>
                <w:rFonts w:ascii="仿宋" w:eastAsia="仿宋" w:hAnsi="仿宋" w:cs="仿宋"/>
                <w:sz w:val="24"/>
              </w:rPr>
            </w:pPr>
            <w:r>
              <w:rPr>
                <w:rFonts w:ascii="仿宋" w:eastAsia="仿宋" w:hAnsi="仿宋" w:cs="仿宋" w:hint="eastAsia"/>
                <w:sz w:val="24"/>
              </w:rPr>
              <w:t>技术文件中应提供加速器控制系统数据交互接口</w:t>
            </w:r>
          </w:p>
        </w:tc>
        <w:tc>
          <w:tcPr>
            <w:tcW w:w="2395" w:type="dxa"/>
            <w:vAlign w:val="center"/>
          </w:tcPr>
          <w:p w14:paraId="61F30697" w14:textId="77777777" w:rsidR="00B515B5" w:rsidRDefault="00553CBA">
            <w:pPr>
              <w:autoSpaceDE w:val="0"/>
              <w:autoSpaceDN w:val="0"/>
              <w:rPr>
                <w:rFonts w:ascii="仿宋_GB2312" w:eastAsia="仿宋_GB2312" w:hAnsi="仿宋" w:cs="仿宋"/>
                <w:sz w:val="24"/>
              </w:rPr>
            </w:pPr>
            <w:r>
              <w:rPr>
                <w:rFonts w:ascii="仿宋_GB2312" w:eastAsia="仿宋_GB2312" w:hAnsi="仿宋" w:cs="仿宋" w:hint="eastAsia"/>
                <w:sz w:val="24"/>
              </w:rPr>
              <w:t>按照企业制定的规程</w:t>
            </w:r>
          </w:p>
        </w:tc>
      </w:tr>
      <w:tr w:rsidR="00B515B5" w14:paraId="773754B6" w14:textId="77777777">
        <w:trPr>
          <w:trHeight w:val="556"/>
          <w:jc w:val="center"/>
        </w:trPr>
        <w:tc>
          <w:tcPr>
            <w:tcW w:w="794" w:type="dxa"/>
            <w:vAlign w:val="center"/>
          </w:tcPr>
          <w:p w14:paraId="67E502F8" w14:textId="77777777" w:rsidR="00B515B5" w:rsidRDefault="00B515B5">
            <w:pPr>
              <w:numPr>
                <w:ilvl w:val="0"/>
                <w:numId w:val="5"/>
              </w:numPr>
              <w:autoSpaceDE w:val="0"/>
              <w:autoSpaceDN w:val="0"/>
              <w:ind w:firstLine="0"/>
              <w:jc w:val="center"/>
              <w:rPr>
                <w:rFonts w:ascii="仿宋_GB2312" w:eastAsia="仿宋_GB2312" w:hAnsi="仿宋_GB2312" w:cs="仿宋_GB2312"/>
                <w:sz w:val="24"/>
              </w:rPr>
            </w:pPr>
          </w:p>
        </w:tc>
        <w:tc>
          <w:tcPr>
            <w:tcW w:w="1847" w:type="dxa"/>
            <w:vAlign w:val="center"/>
          </w:tcPr>
          <w:p w14:paraId="27F3555D" w14:textId="77777777" w:rsidR="00B515B5" w:rsidRDefault="00553CBA">
            <w:pPr>
              <w:autoSpaceDE w:val="0"/>
              <w:autoSpaceDN w:val="0"/>
              <w:ind w:rightChars="30" w:right="63"/>
              <w:jc w:val="center"/>
              <w:rPr>
                <w:rFonts w:ascii="仿宋" w:eastAsia="仿宋" w:hAnsi="仿宋" w:cs="仿宋"/>
                <w:sz w:val="24"/>
              </w:rPr>
            </w:pPr>
            <w:r>
              <w:rPr>
                <w:rFonts w:ascii="仿宋" w:eastAsia="仿宋" w:hAnsi="仿宋" w:cs="仿宋" w:hint="eastAsia"/>
                <w:sz w:val="24"/>
              </w:rPr>
              <w:t>用户访问控制</w:t>
            </w:r>
          </w:p>
        </w:tc>
        <w:tc>
          <w:tcPr>
            <w:tcW w:w="4090" w:type="dxa"/>
            <w:vAlign w:val="center"/>
          </w:tcPr>
          <w:p w14:paraId="73DE394E" w14:textId="77777777" w:rsidR="00B515B5" w:rsidRDefault="00553CBA">
            <w:pPr>
              <w:autoSpaceDE w:val="0"/>
              <w:autoSpaceDN w:val="0"/>
              <w:rPr>
                <w:rFonts w:ascii="仿宋" w:eastAsia="仿宋" w:hAnsi="仿宋" w:cs="仿宋"/>
                <w:sz w:val="24"/>
              </w:rPr>
            </w:pPr>
            <w:r>
              <w:rPr>
                <w:rFonts w:ascii="仿宋" w:eastAsia="仿宋" w:hAnsi="仿宋" w:cs="仿宋" w:hint="eastAsia"/>
                <w:sz w:val="24"/>
              </w:rPr>
              <w:t>技术文件中应提供加速器控制系统软件登录用户名和密码，以及用户权限区分</w:t>
            </w:r>
          </w:p>
        </w:tc>
        <w:tc>
          <w:tcPr>
            <w:tcW w:w="2395" w:type="dxa"/>
            <w:vAlign w:val="center"/>
          </w:tcPr>
          <w:p w14:paraId="0AB23DF3" w14:textId="77777777" w:rsidR="00B515B5" w:rsidRDefault="00553CBA">
            <w:pPr>
              <w:autoSpaceDE w:val="0"/>
              <w:autoSpaceDN w:val="0"/>
              <w:rPr>
                <w:rFonts w:ascii="仿宋_GB2312" w:eastAsia="仿宋_GB2312" w:hAnsi="仿宋" w:cs="仿宋"/>
                <w:sz w:val="24"/>
              </w:rPr>
            </w:pPr>
            <w:r>
              <w:rPr>
                <w:rFonts w:ascii="仿宋_GB2312" w:eastAsia="仿宋_GB2312" w:hAnsi="仿宋" w:cs="仿宋" w:hint="eastAsia"/>
                <w:sz w:val="24"/>
              </w:rPr>
              <w:t>按照企业制定的规程</w:t>
            </w:r>
          </w:p>
        </w:tc>
      </w:tr>
      <w:tr w:rsidR="00B515B5" w14:paraId="19F68B79" w14:textId="77777777">
        <w:trPr>
          <w:trHeight w:val="636"/>
          <w:jc w:val="center"/>
        </w:trPr>
        <w:tc>
          <w:tcPr>
            <w:tcW w:w="794" w:type="dxa"/>
            <w:vAlign w:val="center"/>
          </w:tcPr>
          <w:p w14:paraId="72A11442" w14:textId="77777777" w:rsidR="00B515B5" w:rsidRDefault="00B515B5">
            <w:pPr>
              <w:numPr>
                <w:ilvl w:val="0"/>
                <w:numId w:val="5"/>
              </w:numPr>
              <w:autoSpaceDE w:val="0"/>
              <w:autoSpaceDN w:val="0"/>
              <w:ind w:firstLine="0"/>
              <w:jc w:val="center"/>
              <w:rPr>
                <w:rFonts w:ascii="仿宋_GB2312" w:eastAsia="仿宋_GB2312" w:hAnsi="仿宋_GB2312" w:cs="仿宋_GB2312"/>
                <w:sz w:val="24"/>
              </w:rPr>
            </w:pPr>
          </w:p>
        </w:tc>
        <w:tc>
          <w:tcPr>
            <w:tcW w:w="1847" w:type="dxa"/>
            <w:vAlign w:val="center"/>
          </w:tcPr>
          <w:p w14:paraId="2C2B4705" w14:textId="77777777" w:rsidR="00B515B5" w:rsidRDefault="00553CBA">
            <w:pPr>
              <w:autoSpaceDE w:val="0"/>
              <w:autoSpaceDN w:val="0"/>
              <w:ind w:rightChars="30" w:right="63"/>
              <w:jc w:val="center"/>
              <w:rPr>
                <w:rFonts w:ascii="仿宋" w:eastAsia="仿宋" w:hAnsi="仿宋" w:cs="仿宋"/>
                <w:sz w:val="24"/>
              </w:rPr>
            </w:pPr>
            <w:r>
              <w:rPr>
                <w:rFonts w:ascii="仿宋" w:eastAsia="仿宋" w:hAnsi="仿宋" w:cs="仿宋" w:hint="eastAsia"/>
                <w:sz w:val="24"/>
              </w:rPr>
              <w:t>功能、性能</w:t>
            </w:r>
          </w:p>
        </w:tc>
        <w:tc>
          <w:tcPr>
            <w:tcW w:w="4090" w:type="dxa"/>
            <w:vAlign w:val="center"/>
          </w:tcPr>
          <w:p w14:paraId="719C140F" w14:textId="77777777" w:rsidR="00B515B5" w:rsidRDefault="00553CBA">
            <w:pPr>
              <w:autoSpaceDE w:val="0"/>
              <w:autoSpaceDN w:val="0"/>
              <w:rPr>
                <w:rFonts w:ascii="仿宋" w:eastAsia="仿宋" w:hAnsi="仿宋" w:cs="仿宋"/>
                <w:sz w:val="24"/>
              </w:rPr>
            </w:pPr>
            <w:r>
              <w:rPr>
                <w:rFonts w:ascii="仿宋" w:eastAsia="仿宋" w:hAnsi="仿宋" w:cs="仿宋" w:hint="eastAsia"/>
                <w:sz w:val="24"/>
              </w:rPr>
              <w:t>技术文件中应提供加速器控制系统软件功能、易用性、可靠性、兼容性、性能效率、维护性、可移植性、信息安全性等</w:t>
            </w:r>
          </w:p>
        </w:tc>
        <w:tc>
          <w:tcPr>
            <w:tcW w:w="2395" w:type="dxa"/>
            <w:vAlign w:val="center"/>
          </w:tcPr>
          <w:p w14:paraId="154CC028" w14:textId="77777777" w:rsidR="00B515B5" w:rsidRDefault="00553CBA">
            <w:pPr>
              <w:autoSpaceDE w:val="0"/>
              <w:autoSpaceDN w:val="0"/>
              <w:rPr>
                <w:rFonts w:ascii="仿宋_GB2312" w:eastAsia="仿宋_GB2312" w:hAnsi="仿宋" w:cs="仿宋"/>
                <w:sz w:val="24"/>
              </w:rPr>
            </w:pPr>
            <w:r>
              <w:rPr>
                <w:rFonts w:ascii="仿宋_GB2312" w:eastAsia="仿宋_GB2312" w:hAnsi="仿宋" w:cs="仿宋" w:hint="eastAsia"/>
                <w:sz w:val="24"/>
              </w:rPr>
              <w:t>按照企业制定的规程</w:t>
            </w:r>
          </w:p>
        </w:tc>
      </w:tr>
    </w:tbl>
    <w:p w14:paraId="20A655A0" w14:textId="77777777" w:rsidR="00B515B5" w:rsidRDefault="00553CBA">
      <w:pPr>
        <w:numPr>
          <w:ilvl w:val="0"/>
          <w:numId w:val="3"/>
        </w:numPr>
        <w:spacing w:line="560" w:lineRule="exact"/>
        <w:outlineLvl w:val="1"/>
        <w:rPr>
          <w:rFonts w:ascii="黑体" w:eastAsia="黑体" w:hAnsi="黑体" w:cs="黑体"/>
          <w:sz w:val="32"/>
          <w:szCs w:val="32"/>
        </w:rPr>
      </w:pPr>
      <w:bookmarkStart w:id="85" w:name="_Toc867"/>
      <w:bookmarkStart w:id="86" w:name="_Toc6113"/>
      <w:bookmarkStart w:id="87" w:name="_Toc13439"/>
      <w:bookmarkStart w:id="88" w:name="_Toc29149"/>
      <w:bookmarkStart w:id="89" w:name="_Toc6101"/>
      <w:bookmarkStart w:id="90" w:name="_Toc32740"/>
      <w:bookmarkStart w:id="91" w:name="_Toc32650"/>
      <w:bookmarkStart w:id="92" w:name="_Toc29207"/>
      <w:bookmarkStart w:id="93" w:name="_Toc16458"/>
      <w:bookmarkStart w:id="94" w:name="_Toc22246"/>
      <w:bookmarkStart w:id="95" w:name="_Toc18637"/>
      <w:bookmarkStart w:id="96" w:name="_Toc20344"/>
      <w:bookmarkStart w:id="97" w:name="_Toc22756"/>
      <w:bookmarkStart w:id="98" w:name="_Toc28475"/>
      <w:bookmarkEnd w:id="84"/>
      <w:r>
        <w:rPr>
          <w:rFonts w:ascii="黑体" w:eastAsia="黑体" w:hAnsi="黑体" w:cs="黑体" w:hint="eastAsia"/>
          <w:sz w:val="32"/>
          <w:szCs w:val="32"/>
        </w:rPr>
        <w:t>生产工艺和质量关键控制点</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82F9695" w14:textId="77777777" w:rsidR="00B515B5" w:rsidRDefault="00553CBA">
      <w:pPr>
        <w:numPr>
          <w:ilvl w:val="0"/>
          <w:numId w:val="6"/>
        </w:numPr>
        <w:spacing w:line="560" w:lineRule="exact"/>
        <w:ind w:firstLineChars="200" w:firstLine="640"/>
        <w:outlineLvl w:val="2"/>
        <w:rPr>
          <w:rFonts w:ascii="楷体_GB2312" w:eastAsia="楷体_GB2312" w:hAnsi="楷体_GB2312" w:cs="楷体_GB2312"/>
          <w:sz w:val="32"/>
          <w:szCs w:val="32"/>
        </w:rPr>
      </w:pPr>
      <w:bookmarkStart w:id="99" w:name="_Toc7829"/>
      <w:bookmarkStart w:id="100" w:name="_Toc14086"/>
      <w:bookmarkStart w:id="101" w:name="_Toc32129"/>
      <w:bookmarkStart w:id="102" w:name="_Toc11975"/>
      <w:bookmarkStart w:id="103" w:name="_Toc11015"/>
      <w:bookmarkStart w:id="104" w:name="_Toc26992"/>
      <w:bookmarkStart w:id="105" w:name="_Toc17722"/>
      <w:bookmarkStart w:id="106" w:name="_Toc13860"/>
      <w:bookmarkStart w:id="107" w:name="_Toc24504"/>
      <w:bookmarkStart w:id="108" w:name="_Toc26414"/>
      <w:bookmarkStart w:id="109" w:name="_Toc346"/>
      <w:bookmarkStart w:id="110" w:name="_Toc14316"/>
      <w:bookmarkStart w:id="111" w:name="_Toc276"/>
      <w:bookmarkStart w:id="112" w:name="_Toc20575"/>
      <w:r>
        <w:rPr>
          <w:rFonts w:ascii="楷体_GB2312" w:eastAsia="楷体_GB2312" w:hAnsi="楷体_GB2312" w:cs="楷体_GB2312" w:hint="eastAsia"/>
          <w:sz w:val="32"/>
          <w:szCs w:val="32"/>
        </w:rPr>
        <w:t>生产环节风险点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AB09B6C" w14:textId="77777777" w:rsidR="00B515B5" w:rsidRDefault="00553CBA">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加速器控制系统软件生产环节风险点主要包括人员、仪器设备、配置管理、软件设计、软件验证、数据安全、安装等。</w:t>
      </w:r>
    </w:p>
    <w:p w14:paraId="0866F151" w14:textId="77777777" w:rsidR="00B515B5" w:rsidRDefault="00553CBA">
      <w:pPr>
        <w:numPr>
          <w:ilvl w:val="0"/>
          <w:numId w:val="6"/>
        </w:numPr>
        <w:spacing w:line="560" w:lineRule="exact"/>
        <w:ind w:firstLineChars="200" w:firstLine="640"/>
        <w:outlineLvl w:val="2"/>
        <w:rPr>
          <w:rFonts w:ascii="楷体_GB2312" w:eastAsia="楷体_GB2312" w:hAnsi="楷体_GB2312" w:cs="楷体_GB2312"/>
          <w:sz w:val="32"/>
          <w:szCs w:val="32"/>
        </w:rPr>
      </w:pPr>
      <w:bookmarkStart w:id="113" w:name="_Toc29298"/>
      <w:bookmarkStart w:id="114" w:name="_Toc22871"/>
      <w:bookmarkStart w:id="115" w:name="_Toc27803"/>
      <w:bookmarkStart w:id="116" w:name="_Toc4416"/>
      <w:bookmarkStart w:id="117" w:name="_Toc26347"/>
      <w:bookmarkStart w:id="118" w:name="_Toc27210"/>
      <w:bookmarkStart w:id="119" w:name="_Toc20022"/>
      <w:bookmarkStart w:id="120" w:name="_Toc13697"/>
      <w:bookmarkStart w:id="121" w:name="_Toc25662"/>
      <w:bookmarkStart w:id="122" w:name="_Toc25471"/>
      <w:bookmarkStart w:id="123" w:name="_Toc28413"/>
      <w:bookmarkStart w:id="124" w:name="_Toc20017"/>
      <w:bookmarkStart w:id="125" w:name="_Toc30054"/>
      <w:bookmarkStart w:id="126" w:name="_Toc286"/>
      <w:r>
        <w:rPr>
          <w:rFonts w:ascii="楷体_GB2312" w:eastAsia="楷体_GB2312" w:hAnsi="楷体_GB2312" w:cs="楷体_GB2312" w:hint="eastAsia"/>
          <w:sz w:val="32"/>
          <w:szCs w:val="32"/>
        </w:rPr>
        <w:t>生产质量管理关键控制措施</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tbl>
      <w:tblPr>
        <w:tblStyle w:val="a5"/>
        <w:tblW w:w="8425" w:type="dxa"/>
        <w:jc w:val="center"/>
        <w:tblLook w:val="04A0" w:firstRow="1" w:lastRow="0" w:firstColumn="1" w:lastColumn="0" w:noHBand="0" w:noVBand="1"/>
      </w:tblPr>
      <w:tblGrid>
        <w:gridCol w:w="875"/>
        <w:gridCol w:w="1825"/>
        <w:gridCol w:w="5725"/>
      </w:tblGrid>
      <w:tr w:rsidR="00B515B5" w14:paraId="0502CECF" w14:textId="77777777">
        <w:trPr>
          <w:jc w:val="center"/>
        </w:trPr>
        <w:tc>
          <w:tcPr>
            <w:tcW w:w="875" w:type="dxa"/>
            <w:vAlign w:val="center"/>
          </w:tcPr>
          <w:p w14:paraId="12F34EB9" w14:textId="77777777" w:rsidR="00B515B5" w:rsidRDefault="00553CBA">
            <w:pPr>
              <w:autoSpaceDE w:val="0"/>
              <w:autoSpaceDN w:val="0"/>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825" w:type="dxa"/>
            <w:vAlign w:val="center"/>
          </w:tcPr>
          <w:p w14:paraId="76847A9B" w14:textId="77777777" w:rsidR="00B515B5" w:rsidRDefault="00553CBA">
            <w:pPr>
              <w:autoSpaceDE w:val="0"/>
              <w:autoSpaceDN w:val="0"/>
              <w:ind w:right="64"/>
              <w:rPr>
                <w:rFonts w:ascii="仿宋_GB2312" w:eastAsia="仿宋_GB2312" w:hAnsi="仿宋_GB2312" w:cs="仿宋_GB2312"/>
                <w:b/>
                <w:bCs/>
                <w:sz w:val="24"/>
              </w:rPr>
            </w:pPr>
            <w:r>
              <w:rPr>
                <w:rFonts w:ascii="仿宋_GB2312" w:eastAsia="仿宋_GB2312" w:hAnsi="仿宋_GB2312" w:cs="仿宋_GB2312" w:hint="eastAsia"/>
                <w:b/>
                <w:bCs/>
                <w:sz w:val="24"/>
              </w:rPr>
              <w:t>风险点</w:t>
            </w:r>
          </w:p>
        </w:tc>
        <w:tc>
          <w:tcPr>
            <w:tcW w:w="5725" w:type="dxa"/>
            <w:vAlign w:val="center"/>
          </w:tcPr>
          <w:p w14:paraId="09C0A8DA" w14:textId="77777777" w:rsidR="00B515B5" w:rsidRDefault="00553CBA">
            <w:pPr>
              <w:autoSpaceDE w:val="0"/>
              <w:autoSpaceDN w:val="0"/>
              <w:ind w:right="64"/>
              <w:rPr>
                <w:rFonts w:ascii="仿宋_GB2312" w:eastAsia="仿宋_GB2312" w:hAnsi="仿宋_GB2312" w:cs="仿宋_GB2312"/>
                <w:b/>
                <w:bCs/>
                <w:sz w:val="24"/>
              </w:rPr>
            </w:pPr>
            <w:r>
              <w:rPr>
                <w:rFonts w:ascii="仿宋_GB2312" w:eastAsia="仿宋_GB2312" w:hAnsi="仿宋_GB2312" w:cs="仿宋_GB2312" w:hint="eastAsia"/>
                <w:b/>
                <w:bCs/>
                <w:sz w:val="24"/>
              </w:rPr>
              <w:t>控制措施</w:t>
            </w:r>
          </w:p>
        </w:tc>
      </w:tr>
      <w:tr w:rsidR="00B515B5" w14:paraId="181ACE1B" w14:textId="77777777">
        <w:trPr>
          <w:jc w:val="center"/>
        </w:trPr>
        <w:tc>
          <w:tcPr>
            <w:tcW w:w="875" w:type="dxa"/>
            <w:vAlign w:val="center"/>
          </w:tcPr>
          <w:p w14:paraId="0F060724"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Align w:val="center"/>
          </w:tcPr>
          <w:p w14:paraId="4FB44CA3"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人员</w:t>
            </w:r>
          </w:p>
        </w:tc>
        <w:tc>
          <w:tcPr>
            <w:tcW w:w="5725" w:type="dxa"/>
            <w:vAlign w:val="center"/>
          </w:tcPr>
          <w:p w14:paraId="5F9CF95C"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 1 \* GB3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①</w:t>
            </w:r>
            <w:r>
              <w:rPr>
                <w:rFonts w:ascii="仿宋_GB2312" w:eastAsia="仿宋_GB2312" w:hAnsi="仿宋_GB2312" w:cs="仿宋_GB2312" w:hint="eastAsia"/>
                <w:sz w:val="24"/>
              </w:rPr>
              <w:fldChar w:fldCharType="end"/>
            </w:r>
            <w:r>
              <w:rPr>
                <w:rFonts w:ascii="仿宋_GB2312" w:eastAsia="仿宋_GB2312" w:hAnsi="仿宋_GB2312" w:cs="仿宋_GB2312" w:hint="eastAsia"/>
                <w:sz w:val="24"/>
              </w:rPr>
              <w:t>企业应配备软件架构师、算法工程师、软件开发工程师、软件测试工程师、UI工程师等技术人员；</w:t>
            </w:r>
          </w:p>
          <w:p w14:paraId="165D82D7"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仿宋_GB2312" w:cs="仿宋_GB2312"/>
                <w:sz w:val="24"/>
              </w:rPr>
              <w:fldChar w:fldCharType="begin"/>
            </w:r>
            <w:r>
              <w:rPr>
                <w:rFonts w:ascii="仿宋_GB2312" w:eastAsia="仿宋_GB2312" w:hAnsi="仿宋_GB2312" w:cs="仿宋_GB2312"/>
                <w:sz w:val="24"/>
              </w:rPr>
              <w:instrText xml:space="preserve"> = 2 \* GB3 \* MERGEFORMAT </w:instrText>
            </w:r>
            <w:r>
              <w:rPr>
                <w:rFonts w:ascii="仿宋_GB2312" w:eastAsia="仿宋_GB2312" w:hAnsi="仿宋_GB2312" w:cs="仿宋_GB2312"/>
                <w:sz w:val="24"/>
              </w:rPr>
              <w:fldChar w:fldCharType="separate"/>
            </w:r>
            <w:r>
              <w:rPr>
                <w:rFonts w:ascii="仿宋_GB2312" w:eastAsia="仿宋_GB2312" w:hAnsi="仿宋_GB2312" w:cs="仿宋_GB2312" w:hint="eastAsia"/>
                <w:sz w:val="24"/>
              </w:rPr>
              <w:t>②</w:t>
            </w:r>
            <w:r>
              <w:rPr>
                <w:rFonts w:ascii="仿宋_GB2312" w:eastAsia="仿宋_GB2312" w:hAnsi="仿宋_GB2312" w:cs="仿宋_GB2312"/>
                <w:sz w:val="24"/>
              </w:rPr>
              <w:fldChar w:fldCharType="end"/>
            </w:r>
            <w:r>
              <w:rPr>
                <w:rFonts w:ascii="仿宋_GB2312" w:eastAsia="仿宋_GB2312" w:hAnsi="仿宋_GB2312" w:cs="仿宋_GB2312"/>
                <w:sz w:val="24"/>
              </w:rPr>
              <w:t>软件开发、测试、维护人员应当具备与岗位职责要求相适宜的专业知识、实践经验和工作能力，应当保证黑盒测试同一软件项的开发人员和测试人员不得互相兼任</w:t>
            </w:r>
            <w:r>
              <w:rPr>
                <w:rFonts w:ascii="仿宋_GB2312" w:eastAsia="仿宋_GB2312" w:hAnsi="仿宋_GB2312" w:cs="仿宋_GB2312" w:hint="eastAsia"/>
                <w:sz w:val="24"/>
              </w:rPr>
              <w:t>；</w:t>
            </w:r>
          </w:p>
          <w:p w14:paraId="51C17EEE"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 3 \* GB3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sz w:val="24"/>
              </w:rPr>
              <w:t>③</w:t>
            </w:r>
            <w:r>
              <w:rPr>
                <w:rFonts w:ascii="仿宋_GB2312" w:eastAsia="仿宋_GB2312" w:hAnsi="仿宋_GB2312" w:cs="仿宋_GB2312" w:hint="eastAsia"/>
                <w:sz w:val="24"/>
              </w:rPr>
              <w:fldChar w:fldCharType="end"/>
            </w:r>
            <w:r>
              <w:rPr>
                <w:rFonts w:ascii="仿宋_GB2312" w:eastAsia="仿宋_GB2312" w:hAnsi="仿宋_GB2312" w:cs="仿宋_GB2312" w:hint="eastAsia"/>
                <w:sz w:val="24"/>
              </w:rPr>
              <w:t>企业应在设计开发周期内关注团队人员的状态，建立人才储备；</w:t>
            </w:r>
          </w:p>
          <w:p w14:paraId="644EEBCA"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fldChar w:fldCharType="begin"/>
            </w:r>
            <w:r>
              <w:rPr>
                <w:rFonts w:ascii="仿宋_GB2312" w:eastAsia="仿宋_GB2312" w:hAnsi="仿宋_GB2312" w:cs="仿宋_GB2312" w:hint="eastAsia"/>
                <w:sz w:val="24"/>
              </w:rPr>
              <w:instrText xml:space="preserve"> = 4 \* GB3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④</w:t>
            </w:r>
            <w:r>
              <w:rPr>
                <w:rFonts w:ascii="仿宋_GB2312" w:eastAsia="仿宋_GB2312" w:hAnsi="仿宋_GB2312" w:cs="仿宋_GB2312" w:hint="eastAsia"/>
                <w:sz w:val="24"/>
              </w:rPr>
              <w:fldChar w:fldCharType="end"/>
            </w:r>
            <w:r>
              <w:rPr>
                <w:rFonts w:ascii="仿宋_GB2312" w:eastAsia="仿宋_GB2312" w:hAnsi="仿宋_GB2312" w:cs="仿宋_GB2312" w:hint="eastAsia"/>
                <w:sz w:val="24"/>
              </w:rPr>
              <w:t>企业应对软件开发人员和测试人员进行需求规范、设计规范、使用说明书、标准等的培训。</w:t>
            </w:r>
          </w:p>
        </w:tc>
      </w:tr>
      <w:tr w:rsidR="00B515B5" w14:paraId="3DCCC63E" w14:textId="77777777">
        <w:trPr>
          <w:jc w:val="center"/>
        </w:trPr>
        <w:tc>
          <w:tcPr>
            <w:tcW w:w="875" w:type="dxa"/>
            <w:vMerge w:val="restart"/>
            <w:vAlign w:val="center"/>
          </w:tcPr>
          <w:p w14:paraId="1B7C475D"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Merge w:val="restart"/>
            <w:vAlign w:val="center"/>
          </w:tcPr>
          <w:p w14:paraId="2C64E58A"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仪器设备及开发环境</w:t>
            </w:r>
          </w:p>
        </w:tc>
        <w:tc>
          <w:tcPr>
            <w:tcW w:w="5725" w:type="dxa"/>
            <w:vAlign w:val="center"/>
          </w:tcPr>
          <w:p w14:paraId="2AC66C08"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t>检测仪器和设备：</w:t>
            </w:r>
          </w:p>
          <w:p w14:paraId="509D3266"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1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①</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企业应建立监视测量设备相关管理程序文件，对设备的采购、检定、校准、维护保养等方面进行规定；</w:t>
            </w:r>
          </w:p>
          <w:p w14:paraId="2F23C313"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2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②</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企业应配置与加速器控制系统相匹配的检测设备，主要仪器设备应建立操作规程；</w:t>
            </w:r>
          </w:p>
          <w:p w14:paraId="443902EC"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企业应制定设备校准周期和年度检定/校准计划。</w:t>
            </w:r>
          </w:p>
        </w:tc>
      </w:tr>
      <w:tr w:rsidR="00B515B5" w14:paraId="1C608553" w14:textId="77777777">
        <w:trPr>
          <w:jc w:val="center"/>
        </w:trPr>
        <w:tc>
          <w:tcPr>
            <w:tcW w:w="875" w:type="dxa"/>
            <w:vMerge/>
            <w:vAlign w:val="center"/>
          </w:tcPr>
          <w:p w14:paraId="2B5EE27C" w14:textId="77777777" w:rsidR="00B515B5" w:rsidRDefault="00B515B5">
            <w:pPr>
              <w:autoSpaceDE w:val="0"/>
              <w:autoSpaceDN w:val="0"/>
              <w:jc w:val="center"/>
              <w:rPr>
                <w:rFonts w:ascii="仿宋_GB2312" w:eastAsia="仿宋_GB2312" w:hAnsi="仿宋_GB2312" w:cs="仿宋_GB2312"/>
                <w:sz w:val="24"/>
              </w:rPr>
            </w:pPr>
          </w:p>
        </w:tc>
        <w:tc>
          <w:tcPr>
            <w:tcW w:w="1825" w:type="dxa"/>
            <w:vMerge/>
            <w:vAlign w:val="center"/>
          </w:tcPr>
          <w:p w14:paraId="3C8F5E31" w14:textId="77777777" w:rsidR="00B515B5" w:rsidRDefault="00B515B5">
            <w:pPr>
              <w:autoSpaceDE w:val="0"/>
              <w:autoSpaceDN w:val="0"/>
              <w:rPr>
                <w:rFonts w:ascii="仿宋_GB2312" w:eastAsia="仿宋_GB2312" w:hAnsi="仿宋_GB2312" w:cs="仿宋_GB2312"/>
                <w:sz w:val="24"/>
              </w:rPr>
            </w:pPr>
          </w:p>
        </w:tc>
        <w:tc>
          <w:tcPr>
            <w:tcW w:w="5725" w:type="dxa"/>
            <w:vAlign w:val="center"/>
          </w:tcPr>
          <w:p w14:paraId="3F1E12B9" w14:textId="77777777" w:rsidR="00B515B5" w:rsidRDefault="00553CBA">
            <w:pPr>
              <w:autoSpaceDE w:val="0"/>
              <w:autoSpaceDN w:val="0"/>
              <w:spacing w:line="360" w:lineRule="auto"/>
              <w:rPr>
                <w:rFonts w:ascii="仿宋_GB2312" w:eastAsia="仿宋_GB2312" w:hAnsi="宋体" w:cs="仿宋"/>
                <w:sz w:val="24"/>
              </w:rPr>
            </w:pPr>
            <w:r>
              <w:rPr>
                <w:rFonts w:ascii="仿宋_GB2312" w:eastAsia="仿宋_GB2312" w:hAnsi="宋体" w:cs="仿宋" w:hint="eastAsia"/>
                <w:sz w:val="24"/>
              </w:rPr>
              <w:t>开发环境：</w:t>
            </w:r>
          </w:p>
          <w:p w14:paraId="7ADB8944"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rPr>
              <w:t>①企业应配备</w:t>
            </w:r>
            <w:r>
              <w:rPr>
                <w:rFonts w:ascii="仿宋_GB2312" w:eastAsia="仿宋_GB2312" w:hAnsi="宋体" w:cs="仿宋" w:hint="eastAsia"/>
                <w:sz w:val="24"/>
                <w:szCs w:val="28"/>
              </w:rPr>
              <w:t>软件开发测试环境，建立软件开发测试环境维护文件及相应的维护记录（定期验证、更新升级、病毒查杀记录等）；</w:t>
            </w:r>
          </w:p>
          <w:p w14:paraId="6C8189C6"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sz w:val="24"/>
                <w:szCs w:val="28"/>
              </w:rPr>
              <w:sym w:font="Wingdings" w:char="F082"/>
            </w:r>
            <w:r>
              <w:rPr>
                <w:rFonts w:ascii="仿宋_GB2312" w:eastAsia="仿宋_GB2312" w:hAnsi="宋体" w:cs="仿宋" w:hint="eastAsia"/>
                <w:sz w:val="24"/>
                <w:szCs w:val="28"/>
              </w:rPr>
              <w:t>企业</w:t>
            </w:r>
            <w:r>
              <w:rPr>
                <w:rFonts w:ascii="仿宋_GB2312" w:eastAsia="仿宋_GB2312" w:hAnsi="宋体" w:cs="仿宋" w:hint="eastAsia"/>
                <w:sz w:val="24"/>
              </w:rPr>
              <w:t>应制定计算机软件确认程序文件，依据文件要求</w:t>
            </w:r>
            <w:r>
              <w:rPr>
                <w:rFonts w:ascii="仿宋_GB2312" w:eastAsia="仿宋_GB2312" w:hAnsi="宋体" w:cs="仿宋" w:hint="eastAsia"/>
                <w:sz w:val="24"/>
                <w:szCs w:val="28"/>
              </w:rPr>
              <w:t>对软件开发工具（如配置管理工具和自研或第三方软件测试工具等）、安装在检测设备中的计算机软件进行确认，</w:t>
            </w:r>
            <w:r>
              <w:rPr>
                <w:rFonts w:ascii="仿宋_GB2312" w:eastAsia="仿宋_GB2312" w:hAnsi="宋体" w:cs="仿宋"/>
                <w:sz w:val="24"/>
                <w:szCs w:val="28"/>
              </w:rPr>
              <w:t>当软件更改、受计算机病毒侵害等情况发生时，企业应进行再确认</w:t>
            </w:r>
            <w:r>
              <w:rPr>
                <w:rFonts w:ascii="仿宋_GB2312" w:eastAsia="仿宋_GB2312" w:hAnsi="宋体" w:cs="仿宋" w:hint="eastAsia"/>
                <w:sz w:val="24"/>
                <w:szCs w:val="28"/>
              </w:rPr>
              <w:t>；</w:t>
            </w:r>
          </w:p>
          <w:p w14:paraId="339ED044"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软件研发负责人或软件架构师应对开发团队使用的工具及版本等进行统一规范、管理，并进行确认。</w:t>
            </w:r>
          </w:p>
        </w:tc>
      </w:tr>
      <w:tr w:rsidR="00B515B5" w14:paraId="52470D71" w14:textId="77777777">
        <w:trPr>
          <w:jc w:val="center"/>
        </w:trPr>
        <w:tc>
          <w:tcPr>
            <w:tcW w:w="875" w:type="dxa"/>
            <w:vAlign w:val="center"/>
          </w:tcPr>
          <w:p w14:paraId="22F9C09C"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Align w:val="center"/>
          </w:tcPr>
          <w:p w14:paraId="452515FC"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配置管理</w:t>
            </w:r>
          </w:p>
        </w:tc>
        <w:tc>
          <w:tcPr>
            <w:tcW w:w="5725" w:type="dxa"/>
            <w:vAlign w:val="center"/>
          </w:tcPr>
          <w:p w14:paraId="489CB3B8" w14:textId="77777777" w:rsidR="00B515B5" w:rsidRDefault="00553CBA">
            <w:pPr>
              <w:autoSpaceDE w:val="0"/>
              <w:autoSpaceDN w:val="0"/>
              <w:spacing w:line="360" w:lineRule="auto"/>
              <w:rPr>
                <w:rFonts w:ascii="仿宋_GB2312" w:eastAsia="仿宋_GB2312" w:hAnsi="宋体" w:cs="仿宋"/>
                <w:sz w:val="24"/>
              </w:rPr>
            </w:pPr>
            <w:r>
              <w:rPr>
                <w:rFonts w:ascii="仿宋_GB2312" w:eastAsia="仿宋_GB2312" w:hAnsi="宋体" w:cs="仿宋" w:hint="eastAsia"/>
                <w:sz w:val="24"/>
              </w:rPr>
              <w:t>①企业应建立软件配置管理程序文件；</w:t>
            </w:r>
          </w:p>
          <w:p w14:paraId="439A0A1E"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sz w:val="24"/>
                <w:szCs w:val="28"/>
              </w:rPr>
              <w:sym w:font="Wingdings" w:char="F082"/>
            </w:r>
            <w:r>
              <w:rPr>
                <w:rFonts w:ascii="仿宋_GB2312" w:eastAsia="仿宋_GB2312" w:hAnsi="宋体" w:cs="仿宋" w:hint="eastAsia"/>
                <w:sz w:val="24"/>
                <w:szCs w:val="28"/>
              </w:rPr>
              <w:t>企业应依据配置管理程序文件要求对软件版本、源代码、文件、工具、现成软件等进行控制；</w:t>
            </w:r>
          </w:p>
          <w:p w14:paraId="704036F9"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企业应对软件配置项进行识别、标识，QA对配置项进行检查，记录检查结果；</w:t>
            </w:r>
          </w:p>
          <w:p w14:paraId="64406505"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4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④</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QA根据软件开发阶段检查配置状态，并对配置状态进行记录及更新；</w:t>
            </w:r>
          </w:p>
          <w:p w14:paraId="5C3A1819"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sym w:font="Wingdings" w:char="F085"/>
            </w:r>
            <w:r>
              <w:rPr>
                <w:rFonts w:ascii="仿宋_GB2312" w:eastAsia="仿宋_GB2312" w:hAnsi="宋体" w:cs="仿宋" w:hint="eastAsia"/>
                <w:sz w:val="24"/>
                <w:szCs w:val="28"/>
              </w:rPr>
              <w:t>企业应对软件版本变更（涵盖软件、现成软件、网络安全的全部更新）进行控制，并保留变更记录、验证记录。</w:t>
            </w:r>
          </w:p>
        </w:tc>
      </w:tr>
      <w:tr w:rsidR="00B515B5" w14:paraId="4D6A02EA" w14:textId="77777777">
        <w:trPr>
          <w:jc w:val="center"/>
        </w:trPr>
        <w:tc>
          <w:tcPr>
            <w:tcW w:w="875" w:type="dxa"/>
            <w:vAlign w:val="center"/>
          </w:tcPr>
          <w:p w14:paraId="4502F949"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Align w:val="center"/>
          </w:tcPr>
          <w:p w14:paraId="12D557D9"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软件设计</w:t>
            </w:r>
          </w:p>
        </w:tc>
        <w:tc>
          <w:tcPr>
            <w:tcW w:w="5725" w:type="dxa"/>
            <w:vAlign w:val="center"/>
          </w:tcPr>
          <w:p w14:paraId="0ADF69C3" w14:textId="77777777" w:rsidR="00B515B5" w:rsidRDefault="00553CBA">
            <w:pPr>
              <w:autoSpaceDE w:val="0"/>
              <w:autoSpaceDN w:val="0"/>
              <w:spacing w:line="360" w:lineRule="auto"/>
              <w:rPr>
                <w:rFonts w:ascii="仿宋_GB2312" w:eastAsia="仿宋_GB2312" w:hAnsi="宋体" w:cs="仿宋"/>
                <w:sz w:val="24"/>
              </w:rPr>
            </w:pPr>
            <w:r>
              <w:rPr>
                <w:rFonts w:ascii="仿宋_GB2312" w:eastAsia="仿宋_GB2312" w:hAnsi="宋体" w:cs="仿宋" w:hint="eastAsia"/>
                <w:sz w:val="24"/>
              </w:rPr>
              <w:t>①企业应建立软件设计开发程序文件；</w:t>
            </w:r>
          </w:p>
          <w:p w14:paraId="05D6B81B"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sz w:val="24"/>
                <w:szCs w:val="28"/>
              </w:rPr>
              <w:sym w:font="Wingdings" w:char="F082"/>
            </w:r>
            <w:r>
              <w:rPr>
                <w:rFonts w:ascii="仿宋_GB2312" w:eastAsia="仿宋_GB2312" w:hAnsi="宋体" w:cs="仿宋" w:hint="eastAsia"/>
                <w:sz w:val="24"/>
                <w:szCs w:val="28"/>
              </w:rPr>
              <w:t>企业应依据软件设计开发程序文件的要求进行软件策划、需求分析及设计；</w:t>
            </w:r>
          </w:p>
          <w:p w14:paraId="01639D11"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软件设计开发输入的用户需求、自身需求、预期用途的功能、性能、安全要求、法规/标准要求、风险管理要求等输入信息应充分；</w:t>
            </w:r>
          </w:p>
          <w:p w14:paraId="67AFEDA1"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4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④</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软件设计开发输出的技术要求应满足输入的国家和行业标准等要求；</w:t>
            </w:r>
          </w:p>
          <w:p w14:paraId="66453CBB"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sym w:font="Wingdings" w:char="F085"/>
            </w:r>
            <w:r>
              <w:rPr>
                <w:rFonts w:ascii="仿宋_GB2312" w:eastAsia="仿宋_GB2312" w:hAnsi="宋体" w:cs="仿宋" w:hint="eastAsia"/>
                <w:sz w:val="24"/>
                <w:szCs w:val="28"/>
              </w:rPr>
              <w:t>软件设计变更应进行识别、提出、验证和评审等，发布版本变更的，应进行注册变更；</w:t>
            </w:r>
          </w:p>
          <w:p w14:paraId="17852613"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sym w:font="Wingdings" w:char="F086"/>
            </w:r>
            <w:r>
              <w:rPr>
                <w:rFonts w:ascii="仿宋_GB2312" w:eastAsia="仿宋_GB2312" w:hAnsi="宋体" w:cs="仿宋" w:hint="eastAsia"/>
                <w:sz w:val="24"/>
                <w:szCs w:val="28"/>
              </w:rPr>
              <w:t>软件开发过程应建立可追溯性机制，形成可追溯性记录，如从测试追溯到源代码，从源代码追溯到设计，从设计追溯到需求；</w:t>
            </w:r>
          </w:p>
          <w:p w14:paraId="0FBACAD9"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t>⑦企业应对现成软件（尤其是未知来源软件）的风险进行评估，并采取安全措施确保软件安全。</w:t>
            </w:r>
          </w:p>
        </w:tc>
      </w:tr>
      <w:tr w:rsidR="00B515B5" w14:paraId="5560F18C" w14:textId="77777777">
        <w:trPr>
          <w:jc w:val="center"/>
        </w:trPr>
        <w:tc>
          <w:tcPr>
            <w:tcW w:w="875" w:type="dxa"/>
            <w:vAlign w:val="center"/>
          </w:tcPr>
          <w:p w14:paraId="3A00321C"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Align w:val="center"/>
          </w:tcPr>
          <w:p w14:paraId="41160783"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软件验证</w:t>
            </w:r>
          </w:p>
        </w:tc>
        <w:tc>
          <w:tcPr>
            <w:tcW w:w="5725" w:type="dxa"/>
            <w:vAlign w:val="center"/>
          </w:tcPr>
          <w:p w14:paraId="1F36872D"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rPr>
              <w:t>①企业应建立软件</w:t>
            </w:r>
            <w:r>
              <w:rPr>
                <w:rFonts w:ascii="仿宋_GB2312" w:eastAsia="仿宋_GB2312" w:hAnsi="宋体" w:cs="仿宋" w:hint="eastAsia"/>
                <w:sz w:val="24"/>
                <w:szCs w:val="28"/>
              </w:rPr>
              <w:t>测试计划（单元测试、集成测试、系统测试、网络安全测试），并对其进行评审；</w:t>
            </w:r>
          </w:p>
          <w:p w14:paraId="5BC420D7"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sz w:val="24"/>
                <w:szCs w:val="28"/>
              </w:rPr>
              <w:sym w:font="Wingdings" w:char="F082"/>
            </w:r>
            <w:r>
              <w:rPr>
                <w:rFonts w:ascii="仿宋_GB2312" w:eastAsia="仿宋_GB2312" w:hAnsi="宋体" w:cs="仿宋" w:hint="eastAsia"/>
                <w:sz w:val="24"/>
                <w:szCs w:val="28"/>
              </w:rPr>
              <w:t>企业应制定软件测试用例，并对其进行评审，检查测试用例覆盖情况；</w:t>
            </w:r>
          </w:p>
          <w:p w14:paraId="4EC9BFF0"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企业应选择成熟稳定可靠的测试工具；</w:t>
            </w:r>
          </w:p>
          <w:p w14:paraId="4D56080D"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4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④</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企业应依据软件测试用例对软件进行单元测试、集成测试、系统测试、网络安全测试，测试记录、测试报告、自检记录、自检报告应满足真实、完整性要求；</w:t>
            </w:r>
          </w:p>
          <w:p w14:paraId="4CAFC0FE"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sym w:font="Wingdings" w:char="F085"/>
            </w:r>
            <w:r>
              <w:rPr>
                <w:rFonts w:ascii="仿宋_GB2312" w:eastAsia="仿宋_GB2312" w:hAnsi="宋体" w:cs="仿宋" w:hint="eastAsia"/>
                <w:sz w:val="24"/>
                <w:szCs w:val="28"/>
              </w:rPr>
              <w:t>软件标识应满足可追溯性要求，如软件名称、规格型号、完整版本、发布版本、HASH值等。</w:t>
            </w:r>
          </w:p>
        </w:tc>
      </w:tr>
      <w:tr w:rsidR="00B515B5" w14:paraId="176BF18E" w14:textId="77777777">
        <w:trPr>
          <w:jc w:val="center"/>
        </w:trPr>
        <w:tc>
          <w:tcPr>
            <w:tcW w:w="875" w:type="dxa"/>
            <w:vAlign w:val="center"/>
          </w:tcPr>
          <w:p w14:paraId="6617883B"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Align w:val="center"/>
          </w:tcPr>
          <w:p w14:paraId="48CE71C9"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数据安全</w:t>
            </w:r>
          </w:p>
        </w:tc>
        <w:tc>
          <w:tcPr>
            <w:tcW w:w="5725" w:type="dxa"/>
            <w:vAlign w:val="center"/>
          </w:tcPr>
          <w:p w14:paraId="6824FB7A"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rPr>
              <w:t>①企业应对</w:t>
            </w:r>
            <w:r>
              <w:rPr>
                <w:rFonts w:ascii="仿宋_GB2312" w:eastAsia="仿宋_GB2312" w:hAnsi="宋体" w:cs="仿宋" w:hint="eastAsia"/>
                <w:sz w:val="24"/>
                <w:szCs w:val="28"/>
              </w:rPr>
              <w:t>软件系统电子接口（网络接口、电子数据交换接口）的访问、防护等进行控制，防止非预期的使用；</w:t>
            </w:r>
          </w:p>
          <w:p w14:paraId="2E4D85F4"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sz w:val="24"/>
                <w:szCs w:val="28"/>
              </w:rPr>
              <w:sym w:font="Wingdings" w:char="F082"/>
            </w:r>
            <w:r>
              <w:rPr>
                <w:rFonts w:ascii="仿宋_GB2312" w:eastAsia="仿宋_GB2312" w:hAnsi="宋体" w:cs="仿宋" w:hint="eastAsia"/>
                <w:sz w:val="24"/>
                <w:szCs w:val="28"/>
              </w:rPr>
              <w:t>企业应对软件网络安全威胁进行识别、保护、探测、</w:t>
            </w:r>
            <w:r>
              <w:rPr>
                <w:rFonts w:ascii="仿宋_GB2312" w:eastAsia="仿宋_GB2312" w:hAnsi="宋体" w:cs="仿宋" w:hint="eastAsia"/>
                <w:sz w:val="24"/>
                <w:szCs w:val="28"/>
              </w:rPr>
              <w:lastRenderedPageBreak/>
              <w:t>响应、恢复等，如采用防火墙、堡垒机、漏洞扫描系统、终端用户管理系统等硬件防护措施，网络安全具体参照《医疗器械网络安全注册审查指导原则》；</w:t>
            </w:r>
          </w:p>
          <w:p w14:paraId="36B48DB2"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企业应对软件系统漏洞进行扫描，如根据软件安全性级别进行网络安全漏洞自评或第三方漏洞评估检测，且两者不能使用同一工具进行漏洞扫描；</w:t>
            </w:r>
          </w:p>
          <w:p w14:paraId="78C9AFCB" w14:textId="77777777" w:rsidR="00B515B5" w:rsidRDefault="00553CBA">
            <w:pPr>
              <w:autoSpaceDE w:val="0"/>
              <w:autoSpaceDN w:val="0"/>
              <w:spacing w:line="360" w:lineRule="auto"/>
              <w:rPr>
                <w:rFonts w:ascii="仿宋_GB2312" w:eastAsia="仿宋_GB2312" w:hAnsi="宋体" w:cs="仿宋"/>
                <w:sz w:val="24"/>
                <w:szCs w:val="28"/>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4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④</w:t>
            </w:r>
            <w:r>
              <w:rPr>
                <w:rFonts w:ascii="仿宋_GB2312" w:eastAsia="仿宋_GB2312" w:hAnsi="宋体" w:cs="仿宋" w:hint="eastAsia"/>
                <w:sz w:val="24"/>
                <w:szCs w:val="28"/>
              </w:rPr>
              <w:fldChar w:fldCharType="end"/>
            </w:r>
            <w:r>
              <w:rPr>
                <w:rFonts w:ascii="仿宋_GB2312" w:eastAsia="仿宋_GB2312" w:hAnsi="宋体" w:cs="仿宋" w:hint="eastAsia"/>
                <w:sz w:val="24"/>
                <w:szCs w:val="28"/>
              </w:rPr>
              <w:t>企业应对软件系统重要数据进行灾备，灾备方案设计合理，如异地增量备份，便于数据的备份与恢复等。</w:t>
            </w:r>
          </w:p>
        </w:tc>
      </w:tr>
      <w:tr w:rsidR="00B515B5" w14:paraId="4B30BF82" w14:textId="77777777">
        <w:trPr>
          <w:jc w:val="center"/>
        </w:trPr>
        <w:tc>
          <w:tcPr>
            <w:tcW w:w="875" w:type="dxa"/>
            <w:vAlign w:val="center"/>
          </w:tcPr>
          <w:p w14:paraId="53805BA9" w14:textId="77777777" w:rsidR="00B515B5" w:rsidRDefault="00B515B5">
            <w:pPr>
              <w:numPr>
                <w:ilvl w:val="0"/>
                <w:numId w:val="7"/>
              </w:numPr>
              <w:autoSpaceDE w:val="0"/>
              <w:autoSpaceDN w:val="0"/>
              <w:ind w:firstLine="0"/>
              <w:jc w:val="center"/>
              <w:rPr>
                <w:rFonts w:ascii="仿宋_GB2312" w:eastAsia="仿宋_GB2312" w:hAnsi="仿宋_GB2312" w:cs="仿宋_GB2312"/>
                <w:sz w:val="24"/>
              </w:rPr>
            </w:pPr>
          </w:p>
        </w:tc>
        <w:tc>
          <w:tcPr>
            <w:tcW w:w="1825" w:type="dxa"/>
            <w:vAlign w:val="center"/>
          </w:tcPr>
          <w:p w14:paraId="69BABC0F" w14:textId="77777777" w:rsidR="00B515B5" w:rsidRDefault="00553CBA">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安装</w:t>
            </w:r>
          </w:p>
        </w:tc>
        <w:tc>
          <w:tcPr>
            <w:tcW w:w="5725" w:type="dxa"/>
            <w:vAlign w:val="center"/>
          </w:tcPr>
          <w:p w14:paraId="76BED681"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宋体" w:cs="仿宋" w:hint="eastAsia"/>
                <w:sz w:val="24"/>
              </w:rPr>
              <w:t>①</w:t>
            </w:r>
            <w:r>
              <w:rPr>
                <w:rFonts w:ascii="仿宋_GB2312" w:eastAsia="仿宋_GB2312" w:hAnsi="仿宋_GB2312" w:cs="仿宋_GB2312" w:hint="eastAsia"/>
                <w:sz w:val="24"/>
              </w:rPr>
              <w:t>现场调试人员根据当前软件系统的技术要求，核对现场的运行环境是否与技术要求一致；</w:t>
            </w:r>
          </w:p>
          <w:p w14:paraId="4FFD5799"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宋体" w:cs="仿宋"/>
                <w:sz w:val="24"/>
                <w:szCs w:val="28"/>
              </w:rPr>
              <w:sym w:font="Wingdings" w:char="F082"/>
            </w:r>
            <w:r>
              <w:rPr>
                <w:rFonts w:ascii="仿宋_GB2312" w:eastAsia="仿宋_GB2312" w:hAnsi="仿宋_GB2312" w:cs="仿宋_GB2312" w:hint="eastAsia"/>
                <w:sz w:val="24"/>
              </w:rPr>
              <w:t>由版本管理人员或配置管理人员对发行的每个软件版本进行跟踪检查，确保能追踪到当前版本所对应的源码备份；</w:t>
            </w:r>
          </w:p>
          <w:p w14:paraId="6E1FA2FF"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3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③</w:t>
            </w:r>
            <w:r>
              <w:rPr>
                <w:rFonts w:ascii="仿宋_GB2312" w:eastAsia="仿宋_GB2312" w:hAnsi="宋体" w:cs="仿宋" w:hint="eastAsia"/>
                <w:sz w:val="24"/>
                <w:szCs w:val="28"/>
              </w:rPr>
              <w:fldChar w:fldCharType="end"/>
            </w:r>
            <w:r>
              <w:rPr>
                <w:rFonts w:ascii="仿宋_GB2312" w:eastAsia="仿宋_GB2312" w:hAnsi="仿宋_GB2312" w:cs="仿宋_GB2312" w:hint="eastAsia"/>
                <w:sz w:val="24"/>
              </w:rPr>
              <w:t>现场安装的软件版本出口必须统一：统一由版本管理人员或配置管理人员从受控库检出再转交给软件安装人员；</w:t>
            </w:r>
          </w:p>
          <w:p w14:paraId="665BC41C" w14:textId="77777777" w:rsidR="00B515B5" w:rsidRDefault="00553CBA">
            <w:pPr>
              <w:autoSpaceDE w:val="0"/>
              <w:autoSpaceDN w:val="0"/>
              <w:spacing w:line="360" w:lineRule="auto"/>
              <w:rPr>
                <w:rFonts w:ascii="仿宋_GB2312" w:eastAsia="仿宋_GB2312" w:hAnsi="仿宋_GB2312" w:cs="仿宋_GB2312"/>
                <w:sz w:val="24"/>
              </w:rPr>
            </w:pPr>
            <w:r>
              <w:rPr>
                <w:rFonts w:ascii="仿宋_GB2312" w:eastAsia="仿宋_GB2312" w:hAnsi="宋体" w:cs="仿宋" w:hint="eastAsia"/>
                <w:sz w:val="24"/>
                <w:szCs w:val="28"/>
              </w:rPr>
              <w:fldChar w:fldCharType="begin"/>
            </w:r>
            <w:r>
              <w:rPr>
                <w:rFonts w:ascii="仿宋_GB2312" w:eastAsia="仿宋_GB2312" w:hAnsi="宋体" w:cs="仿宋" w:hint="eastAsia"/>
                <w:sz w:val="24"/>
                <w:szCs w:val="28"/>
              </w:rPr>
              <w:instrText xml:space="preserve"> = 4 \* GB3 \* MERGEFORMAT </w:instrText>
            </w:r>
            <w:r>
              <w:rPr>
                <w:rFonts w:ascii="仿宋_GB2312" w:eastAsia="仿宋_GB2312" w:hAnsi="宋体" w:cs="仿宋" w:hint="eastAsia"/>
                <w:sz w:val="24"/>
                <w:szCs w:val="28"/>
              </w:rPr>
              <w:fldChar w:fldCharType="separate"/>
            </w:r>
            <w:r>
              <w:rPr>
                <w:rFonts w:ascii="仿宋_GB2312" w:eastAsia="仿宋_GB2312" w:hAnsi="宋体" w:cs="仿宋" w:hint="eastAsia"/>
                <w:sz w:val="24"/>
                <w:szCs w:val="28"/>
              </w:rPr>
              <w:t>④</w:t>
            </w:r>
            <w:r>
              <w:rPr>
                <w:rFonts w:ascii="仿宋_GB2312" w:eastAsia="仿宋_GB2312" w:hAnsi="宋体" w:cs="仿宋" w:hint="eastAsia"/>
                <w:sz w:val="24"/>
                <w:szCs w:val="28"/>
              </w:rPr>
              <w:fldChar w:fldCharType="end"/>
            </w:r>
            <w:r>
              <w:rPr>
                <w:rFonts w:ascii="仿宋_GB2312" w:eastAsia="仿宋_GB2312" w:hAnsi="仿宋_GB2312" w:cs="仿宋_GB2312" w:hint="eastAsia"/>
                <w:sz w:val="24"/>
              </w:rPr>
              <w:t>现场软件安装完成后须进行确认及测试，形成安装记录。</w:t>
            </w:r>
          </w:p>
        </w:tc>
      </w:tr>
    </w:tbl>
    <w:p w14:paraId="0E488DDB" w14:textId="77777777" w:rsidR="00B515B5" w:rsidRDefault="00553CBA">
      <w:pPr>
        <w:numPr>
          <w:ilvl w:val="0"/>
          <w:numId w:val="3"/>
        </w:numPr>
        <w:spacing w:line="560" w:lineRule="exact"/>
        <w:outlineLvl w:val="1"/>
        <w:rPr>
          <w:rFonts w:ascii="黑体" w:eastAsia="黑体" w:hAnsi="黑体" w:cs="黑体"/>
          <w:sz w:val="32"/>
          <w:szCs w:val="32"/>
        </w:rPr>
      </w:pPr>
      <w:bookmarkStart w:id="127" w:name="_Toc14459"/>
      <w:bookmarkStart w:id="128" w:name="_Toc4112"/>
      <w:bookmarkStart w:id="129" w:name="_Toc17029"/>
      <w:bookmarkStart w:id="130" w:name="_Toc851"/>
      <w:bookmarkStart w:id="131" w:name="_Toc12526"/>
      <w:bookmarkStart w:id="132" w:name="_Toc30067"/>
      <w:bookmarkStart w:id="133" w:name="_Toc22499"/>
      <w:bookmarkStart w:id="134" w:name="_Toc23942"/>
      <w:bookmarkStart w:id="135" w:name="_Toc29762"/>
      <w:bookmarkStart w:id="136" w:name="_Toc20124"/>
      <w:bookmarkStart w:id="137" w:name="_Toc32059"/>
      <w:bookmarkStart w:id="138" w:name="_Toc28112"/>
      <w:bookmarkStart w:id="139" w:name="_Toc955"/>
      <w:bookmarkStart w:id="140" w:name="_Toc8442"/>
      <w:r>
        <w:rPr>
          <w:rFonts w:ascii="黑体" w:eastAsia="黑体" w:hAnsi="黑体" w:cs="黑体" w:hint="eastAsia"/>
          <w:sz w:val="32"/>
          <w:szCs w:val="32"/>
        </w:rPr>
        <w:t>检查要点</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076C502"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141" w:name="_Toc19824"/>
      <w:bookmarkStart w:id="142" w:name="_Toc1060"/>
      <w:bookmarkStart w:id="143" w:name="_Toc23508"/>
      <w:bookmarkStart w:id="144" w:name="_Toc26353"/>
      <w:bookmarkStart w:id="145" w:name="_Toc24559"/>
      <w:bookmarkStart w:id="146" w:name="_Toc11120"/>
      <w:bookmarkStart w:id="147" w:name="_Toc7475"/>
      <w:bookmarkStart w:id="148" w:name="_Toc8952"/>
      <w:bookmarkStart w:id="149" w:name="_Toc2987"/>
      <w:bookmarkStart w:id="150" w:name="_Toc5038"/>
      <w:bookmarkStart w:id="151" w:name="_Toc19272"/>
      <w:bookmarkStart w:id="152" w:name="_Toc6677"/>
      <w:bookmarkStart w:id="153" w:name="_Toc30037"/>
      <w:bookmarkStart w:id="154" w:name="_Toc15696"/>
      <w:r>
        <w:rPr>
          <w:rFonts w:ascii="楷体_GB2312" w:eastAsia="楷体_GB2312" w:hAnsi="楷体_GB2312" w:cs="楷体_GB2312" w:hint="eastAsia"/>
          <w:sz w:val="32"/>
          <w:szCs w:val="32"/>
        </w:rPr>
        <w:t>（一）机构与人员</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77084EA"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对从事影响产品质量的工作人员，特别是产品设计开发人员、测试人员等制定考核评价制度，培训内容包含相关法律法规、基础理论知识、专业操作技能、过程质量控制及质量检验等，并保留相关培训记录。如：软件设计开发人员和测试人员需进行强制性标准及行业标准IEC 62304（YY/T 0664）等培训。</w:t>
      </w:r>
    </w:p>
    <w:p w14:paraId="72A7DEC5"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155" w:name="_Toc12466"/>
      <w:bookmarkStart w:id="156" w:name="_Toc22164"/>
      <w:bookmarkStart w:id="157" w:name="_Toc3202"/>
      <w:bookmarkStart w:id="158" w:name="_Toc10259"/>
      <w:bookmarkStart w:id="159" w:name="_Toc27953"/>
      <w:bookmarkStart w:id="160" w:name="_Toc19857"/>
      <w:bookmarkStart w:id="161" w:name="_Toc21125"/>
      <w:bookmarkStart w:id="162" w:name="_Toc19219"/>
      <w:bookmarkStart w:id="163" w:name="_Toc27756"/>
      <w:bookmarkStart w:id="164" w:name="_Toc30028"/>
      <w:bookmarkStart w:id="165" w:name="_Toc22570"/>
      <w:bookmarkStart w:id="166" w:name="_Toc19130"/>
      <w:bookmarkStart w:id="167" w:name="_Toc18886"/>
      <w:bookmarkStart w:id="168" w:name="_Toc29742"/>
      <w:r>
        <w:rPr>
          <w:rFonts w:ascii="楷体_GB2312" w:eastAsia="楷体_GB2312" w:hAnsi="楷体_GB2312" w:cs="楷体_GB2312" w:hint="eastAsia"/>
          <w:sz w:val="32"/>
          <w:szCs w:val="32"/>
        </w:rPr>
        <w:t>（二）厂房与设施</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D1A1CA2"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lastRenderedPageBreak/>
        <w:t>不涉及。</w:t>
      </w:r>
    </w:p>
    <w:p w14:paraId="5DC9506F"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169" w:name="_Toc5754"/>
      <w:bookmarkStart w:id="170" w:name="_Toc7487"/>
      <w:bookmarkStart w:id="171" w:name="_Toc13736"/>
      <w:bookmarkStart w:id="172" w:name="_Toc15712"/>
      <w:bookmarkStart w:id="173" w:name="_Toc4579"/>
      <w:bookmarkStart w:id="174" w:name="_Toc24308"/>
      <w:bookmarkStart w:id="175" w:name="_Toc20239"/>
      <w:bookmarkStart w:id="176" w:name="_Toc22906"/>
      <w:bookmarkStart w:id="177" w:name="_Toc21395"/>
      <w:bookmarkStart w:id="178" w:name="_Toc15225"/>
      <w:bookmarkStart w:id="179" w:name="_Toc7180"/>
      <w:bookmarkStart w:id="180" w:name="_Toc15862"/>
      <w:bookmarkStart w:id="181" w:name="_Toc25046"/>
      <w:bookmarkStart w:id="182" w:name="_Toc31799"/>
      <w:r>
        <w:rPr>
          <w:rFonts w:ascii="楷体_GB2312" w:eastAsia="楷体_GB2312" w:hAnsi="楷体_GB2312" w:cs="楷体_GB2312" w:hint="eastAsia"/>
          <w:sz w:val="32"/>
          <w:szCs w:val="32"/>
        </w:rPr>
        <w:t>（三）设备</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DE3BBD4" w14:textId="77777777" w:rsidR="00B515B5" w:rsidRDefault="00553CBA">
      <w:pPr>
        <w:widowControl/>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不涉及。</w:t>
      </w:r>
    </w:p>
    <w:p w14:paraId="17EA3273"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183" w:name="_Toc26740"/>
      <w:bookmarkStart w:id="184" w:name="_Toc13172"/>
      <w:bookmarkStart w:id="185" w:name="_Toc18869"/>
      <w:bookmarkStart w:id="186" w:name="_Toc19187"/>
      <w:bookmarkStart w:id="187" w:name="_Toc31685"/>
      <w:bookmarkStart w:id="188" w:name="_Toc17203"/>
      <w:bookmarkStart w:id="189" w:name="_Toc30151"/>
      <w:bookmarkStart w:id="190" w:name="_Toc21646"/>
      <w:bookmarkStart w:id="191" w:name="_Toc28814"/>
      <w:bookmarkStart w:id="192" w:name="_Toc2293"/>
      <w:bookmarkStart w:id="193" w:name="_Toc14660"/>
      <w:bookmarkStart w:id="194" w:name="_Toc10807"/>
      <w:bookmarkStart w:id="195" w:name="_Toc16143"/>
      <w:bookmarkStart w:id="196" w:name="_Toc14095"/>
      <w:r>
        <w:rPr>
          <w:rFonts w:ascii="楷体_GB2312" w:eastAsia="楷体_GB2312" w:hAnsi="楷体_GB2312" w:cs="楷体_GB2312" w:hint="eastAsia"/>
          <w:sz w:val="32"/>
          <w:szCs w:val="32"/>
        </w:rPr>
        <w:t>（四）文件管理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17C3D67"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企业应根据实际情况及产品特点采用信息化管理手段，实现文件和记录电子化，便于管理、使用与知识共享。</w:t>
      </w:r>
    </w:p>
    <w:p w14:paraId="4B8A0168"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相适应的质量管理体系文件，包括质量手册、程序文件、规范制度、技术文件和记录等。技术文件应当包括产品技术要求及相关标准、生产工艺规程、作业指导书、检验作业规程和运维操作规程等相关文件。记录应当确保产品设计开发、物料采购、生产、质量控制、运维管理等活动可追溯。</w:t>
      </w:r>
    </w:p>
    <w:p w14:paraId="4BCAEA5B"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14:paraId="01BAEFED"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14:paraId="550EAC57"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4.加速器控制系统软件设计开发、采购、安装、检验、运维等过程相关的记录应永久保存；对于受控文件/记录应根据企业的规定处置。</w:t>
      </w:r>
    </w:p>
    <w:p w14:paraId="019132A8"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197" w:name="_Toc24050"/>
      <w:bookmarkStart w:id="198" w:name="_Toc12809"/>
      <w:bookmarkStart w:id="199" w:name="_Toc15901"/>
      <w:bookmarkStart w:id="200" w:name="_Toc27763"/>
      <w:bookmarkStart w:id="201" w:name="_Toc9619"/>
      <w:bookmarkStart w:id="202" w:name="_Toc13289"/>
      <w:bookmarkStart w:id="203" w:name="_Toc16473"/>
      <w:bookmarkStart w:id="204" w:name="_Toc4044"/>
      <w:bookmarkStart w:id="205" w:name="_Toc14916"/>
      <w:bookmarkStart w:id="206" w:name="_Toc30937"/>
      <w:bookmarkStart w:id="207" w:name="_Toc17833"/>
      <w:bookmarkStart w:id="208" w:name="_Toc16211"/>
      <w:bookmarkStart w:id="209" w:name="_Toc16872"/>
      <w:bookmarkStart w:id="210" w:name="_Toc7787"/>
      <w:r>
        <w:rPr>
          <w:rFonts w:ascii="楷体_GB2312" w:eastAsia="楷体_GB2312" w:hAnsi="楷体_GB2312" w:cs="楷体_GB2312" w:hint="eastAsia"/>
          <w:sz w:val="32"/>
          <w:szCs w:val="32"/>
        </w:rPr>
        <w:t>（五）设计开发</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A510231"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lastRenderedPageBreak/>
        <w:t>1.企业应当依据风险管理控制程序实施软件风险管理活动，结合软件功能、接口、用户界面、现成软件、网络安全等进行风险识别、分析、评价、控制和验证，并贯穿于软件生存周期全过程。</w:t>
      </w:r>
    </w:p>
    <w:p w14:paraId="50CDDD41" w14:textId="7278954C" w:rsidR="00B515B5" w:rsidRDefault="00E5525B">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w:t>
      </w:r>
      <w:r w:rsidR="00553CBA">
        <w:rPr>
          <w:rFonts w:ascii="仿宋_GB2312" w:eastAsia="仿宋_GB2312" w:hAnsi="Arial" w:cs="Arial" w:hint="eastAsia"/>
          <w:color w:val="000000"/>
          <w:sz w:val="32"/>
          <w:szCs w:val="28"/>
        </w:rPr>
        <w:t>1）企业应在加速器控制系统软件设计开发策划阶段制定软件风险管理计划，包括风险管理活动的范围、职责和权限的分配、风险管理方针、风险可接受性准则、风险管理活动计划、验证活动、生产和生产后信息的收集等。</w:t>
      </w:r>
    </w:p>
    <w:p w14:paraId="04ADE88C" w14:textId="17A225A3" w:rsidR="00B515B5" w:rsidRDefault="00E5525B">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w:t>
      </w:r>
      <w:r w:rsidR="00553CBA">
        <w:rPr>
          <w:rFonts w:ascii="仿宋_GB2312" w:eastAsia="仿宋_GB2312" w:hAnsi="Arial" w:cs="Arial" w:hint="eastAsia"/>
          <w:color w:val="000000"/>
          <w:sz w:val="32"/>
          <w:szCs w:val="28"/>
        </w:rPr>
        <w:t>2）企业应建立软件缺陷管理制度，对软件开发及使用过程中发现的各类缺陷进行记录、评估、修复、回归测试、风险管理、评审等，形成软件缺陷分析报告，例如：非预期输入数据的响应，使用的外部组件的错误（比如数据库、操作系统和IT环境），网络安全风险/威胁、人机界面和人为错误等。</w:t>
      </w:r>
    </w:p>
    <w:p w14:paraId="1EBF05D9"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2.企业应根据软件产品特点、质量管理体系要求、合规性等因素制定软件版本命名规则并予以记录，各字段含义明确且无歧义无矛盾。例如，软件版本命名规则为X.Y.Z.B，其中X表示重大增强类更新，Y表示轻微增强类更新，Z表示纠正类更新，B表示内部构建，则软件完整版本为X.Y.Z.B，而软件发布版本为X，此时X发生变化应进行许可事项变更，而Y、Z和B发生变化无需进行许可事项变更。</w:t>
      </w:r>
    </w:p>
    <w:p w14:paraId="21501825"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3.企业应建立软件可追溯性分析控制程序并形成文件，涵盖现成软件、网络安全的控制要求，软件可追溯性分析能够追踪到软件需求、软件设计、源代码、测试及风险管理之</w:t>
      </w:r>
      <w:r>
        <w:rPr>
          <w:rFonts w:ascii="仿宋_GB2312" w:eastAsia="仿宋_GB2312" w:hAnsi="Arial" w:cs="Arial" w:hint="eastAsia"/>
          <w:color w:val="000000"/>
          <w:sz w:val="32"/>
          <w:szCs w:val="28"/>
        </w:rPr>
        <w:lastRenderedPageBreak/>
        <w:t>间的关系，相互之间满足正确性、一致性和完整性的要求。</w:t>
      </w:r>
    </w:p>
    <w:p w14:paraId="18BB13C4"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4.企业应对软件需求进行分析，包括法规、标准、用户、产品、功能、性能、接口、用户界面、网络安全、警示提示等软件需求，确定风险管理、可追溯性分析、现成软件使用评估、软件确认测试计划创建、评审等活动要求，形成软件需求规范和评审记录并经批准，适时更新并经批准。</w:t>
      </w:r>
    </w:p>
    <w:p w14:paraId="5BF21540"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5.企业应依据软件需求规范实施软件体系架构、功能、性能、算法、接口、用户界面、单元、网络安全等设计，确定风险管理、可追溯性分析、现成软件使用评估、软件验证测试计划创建、评审等活动要求，形成软件设计规范和评审记录并经批准，适时更新并经批准。</w:t>
      </w:r>
    </w:p>
    <w:p w14:paraId="71262A4A"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6.企业应制定软件测试计划，依据软件测试计划进行单元测试、集成测试、系统测试，涵盖现成软件、网络安全的测试要求，形成相应软件测试记录、测试报告以及评审记录，并适时更新。</w:t>
      </w:r>
    </w:p>
    <w:p w14:paraId="60314441"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7.企业应制定软件确认制度，确认内容包含用户测试、评审等活动要求，涵盖现成软件、网络安全的确认要求，并保持相关记录。能够保证软件满足用户需求和预期目的，且软件已知剩余缺陷的风险均可接受。</w:t>
      </w:r>
    </w:p>
    <w:p w14:paraId="5D1456B1"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8.企业软件更新应形成文件，涵盖现成软件、网络安全的变更控制要求，确定软件更新请求评估、软件更新策划、软件更新实施、风险管理、验证与确认、缺陷管理、可追溯性分析、配置管理、文件与记录控制、评审、用户告知等活动要求，形成相关文件和记录并经批准，适时更新并经批准。</w:t>
      </w:r>
      <w:r>
        <w:rPr>
          <w:rFonts w:ascii="仿宋_GB2312" w:eastAsia="仿宋_GB2312" w:hAnsi="Arial" w:cs="Arial" w:hint="eastAsia"/>
          <w:color w:val="000000"/>
          <w:sz w:val="32"/>
          <w:szCs w:val="28"/>
        </w:rPr>
        <w:lastRenderedPageBreak/>
        <w:t>软件版本变更应当与软件更新情况相匹配。验证与确认应当根据软件更新的类型、内容和程度实施相适宜的回归测试、用户测试等活动。</w:t>
      </w:r>
    </w:p>
    <w:p w14:paraId="704E9F69"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211" w:name="_Toc12841"/>
      <w:bookmarkStart w:id="212" w:name="_Toc25244"/>
      <w:bookmarkStart w:id="213" w:name="_Toc5978"/>
      <w:bookmarkStart w:id="214" w:name="_Toc30667"/>
      <w:bookmarkStart w:id="215" w:name="_Toc1329"/>
      <w:bookmarkStart w:id="216" w:name="_Toc193"/>
      <w:bookmarkStart w:id="217" w:name="_Toc30497"/>
      <w:bookmarkStart w:id="218" w:name="_Toc10070"/>
      <w:bookmarkStart w:id="219" w:name="_Toc11576"/>
      <w:bookmarkStart w:id="220" w:name="_Toc18710"/>
      <w:bookmarkStart w:id="221" w:name="_Toc20652"/>
      <w:bookmarkStart w:id="222" w:name="_Toc7029"/>
      <w:bookmarkStart w:id="223" w:name="_Toc28032"/>
      <w:bookmarkStart w:id="224" w:name="_Toc5821"/>
      <w:r>
        <w:rPr>
          <w:rFonts w:ascii="楷体_GB2312" w:eastAsia="楷体_GB2312" w:hAnsi="楷体_GB2312" w:cs="楷体_GB2312" w:hint="eastAsia"/>
          <w:sz w:val="32"/>
          <w:szCs w:val="32"/>
        </w:rPr>
        <w:t>（六）采购</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5021263"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对于加速器控制系统软件</w:t>
      </w:r>
      <w:r>
        <w:rPr>
          <w:rFonts w:ascii="仿宋_GB2312" w:eastAsia="仿宋_GB2312" w:hAnsi="仿宋_GB2312" w:cs="仿宋_GB2312" w:hint="eastAsia"/>
          <w:color w:val="000000"/>
          <w:sz w:val="32"/>
          <w:szCs w:val="28"/>
        </w:rPr>
        <w:t>，企业应在质量协议或采购合同中明确主要技术参数、规格型号、质量要求及验收标准等内容，必要时提供供方出厂检验报告。</w:t>
      </w:r>
    </w:p>
    <w:p w14:paraId="293A4F87"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1.采购流程</w:t>
      </w:r>
    </w:p>
    <w:p w14:paraId="74F1BC65"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企业应建立采购程序文件，包括采购流程，应满足以下要求：</w:t>
      </w:r>
    </w:p>
    <w:p w14:paraId="25DB26F8" w14:textId="1267EFD9"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color w:val="000000"/>
          <w:sz w:val="32"/>
          <w:szCs w:val="28"/>
        </w:rPr>
        <w:t>1</w:t>
      </w:r>
      <w:r w:rsidR="00553CBA">
        <w:rPr>
          <w:rFonts w:ascii="仿宋_GB2312" w:eastAsia="仿宋_GB2312" w:hAnsi="仿宋_GB2312" w:cs="仿宋_GB2312" w:hint="eastAsia"/>
          <w:color w:val="000000"/>
          <w:sz w:val="32"/>
          <w:szCs w:val="28"/>
        </w:rPr>
        <w:t>）对不同的采购部件或原材料应规定不同的控制方式，并对采购文件的制定、评审、批准作出明确的规定；</w:t>
      </w:r>
    </w:p>
    <w:p w14:paraId="78034C01" w14:textId="3573D66D"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color w:val="000000"/>
          <w:sz w:val="32"/>
          <w:szCs w:val="28"/>
        </w:rPr>
        <w:t>2</w:t>
      </w:r>
      <w:r w:rsidR="00553CBA">
        <w:rPr>
          <w:rFonts w:ascii="仿宋_GB2312" w:eastAsia="仿宋_GB2312" w:hAnsi="仿宋_GB2312" w:cs="仿宋_GB2312" w:hint="eastAsia"/>
          <w:color w:val="000000"/>
          <w:sz w:val="32"/>
          <w:szCs w:val="28"/>
        </w:rPr>
        <w:t>）对合格供方的选择、评价和再评价应予以明确规定；</w:t>
      </w:r>
    </w:p>
    <w:p w14:paraId="48B981AB" w14:textId="6BD31627"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color w:val="000000"/>
          <w:sz w:val="32"/>
          <w:szCs w:val="28"/>
        </w:rPr>
        <w:t>3</w:t>
      </w:r>
      <w:r w:rsidR="00553CBA">
        <w:rPr>
          <w:rFonts w:ascii="仿宋_GB2312" w:eastAsia="仿宋_GB2312" w:hAnsi="仿宋_GB2312" w:cs="仿宋_GB2312" w:hint="eastAsia"/>
          <w:color w:val="000000"/>
          <w:sz w:val="32"/>
          <w:szCs w:val="28"/>
        </w:rPr>
        <w:t>）对采购产品符合性的验证方法进行规定；</w:t>
      </w:r>
    </w:p>
    <w:p w14:paraId="7A906868" w14:textId="46F67286"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color w:val="000000"/>
          <w:sz w:val="32"/>
          <w:szCs w:val="28"/>
        </w:rPr>
        <w:t>4</w:t>
      </w:r>
      <w:r w:rsidR="00553CBA">
        <w:rPr>
          <w:rFonts w:ascii="仿宋_GB2312" w:eastAsia="仿宋_GB2312" w:hAnsi="仿宋_GB2312" w:cs="仿宋_GB2312" w:hint="eastAsia"/>
          <w:color w:val="000000"/>
          <w:sz w:val="32"/>
          <w:szCs w:val="28"/>
        </w:rPr>
        <w:t>）对采购过程的记录应进行保持的规定；</w:t>
      </w:r>
    </w:p>
    <w:p w14:paraId="20689643" w14:textId="57F22BCC"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color w:val="000000"/>
          <w:sz w:val="32"/>
          <w:szCs w:val="28"/>
        </w:rPr>
        <w:t>5</w:t>
      </w:r>
      <w:r w:rsidR="00553CBA">
        <w:rPr>
          <w:rFonts w:ascii="仿宋_GB2312" w:eastAsia="仿宋_GB2312" w:hAnsi="仿宋_GB2312" w:cs="仿宋_GB2312" w:hint="eastAsia"/>
          <w:color w:val="000000"/>
          <w:sz w:val="32"/>
          <w:szCs w:val="28"/>
        </w:rPr>
        <w:t>）实施采购和采购管理应进行规定。</w:t>
      </w:r>
    </w:p>
    <w:p w14:paraId="6B32C3E1"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2.物料分类</w:t>
      </w:r>
    </w:p>
    <w:p w14:paraId="08EE63B1" w14:textId="5DC2516E"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1）企业应根据采购物料对整个产品的影响程度将物料进行分类，通常分为A、B、C三类，包括：</w:t>
      </w:r>
    </w:p>
    <w:p w14:paraId="7188C699"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A类物料（关键物料），对最终产品的主要功能或构成产品关键性能指标和重要安全性指标起决定性作用的材料、器件等。</w:t>
      </w:r>
    </w:p>
    <w:p w14:paraId="46EE4B69"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B类物料（重要物料），对实现产品功能、性能和安全指</w:t>
      </w:r>
      <w:r>
        <w:rPr>
          <w:rFonts w:ascii="仿宋_GB2312" w:eastAsia="仿宋_GB2312" w:hAnsi="仿宋_GB2312" w:cs="仿宋_GB2312" w:hint="eastAsia"/>
          <w:color w:val="000000"/>
          <w:sz w:val="32"/>
          <w:szCs w:val="28"/>
        </w:rPr>
        <w:lastRenderedPageBreak/>
        <w:t>标起重要作用的材料、器件等。</w:t>
      </w:r>
    </w:p>
    <w:p w14:paraId="1F33E64B"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C类物料（一般物料），对产品的功能、性能和安全性指标有轻微影响，或生产过程所用的辅助性物料，主要指除A、B类之外的采购物料或服务。</w:t>
      </w:r>
    </w:p>
    <w:p w14:paraId="736B8BC9" w14:textId="21EDD2CF"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2）物料具体分类应在物料明细表或物料清单（BOM）中明确，至少包含产品名称、规格型号、技术指标或质量要求、分类等级等内容。还应根据产品分类情况，对供方提出相应的控制要求。</w:t>
      </w:r>
    </w:p>
    <w:p w14:paraId="7C74691F" w14:textId="535FD5DB"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3）企业采购的原材料应满足设计输出的要求，采购部件应遵守相应的采购合同规定、合同附件技术要求、质量协议等，采购产品的要求应不低于国家/行业标准规定的最低要求。</w:t>
      </w:r>
    </w:p>
    <w:p w14:paraId="076EE3CE"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3.供应商管理</w:t>
      </w:r>
    </w:p>
    <w:p w14:paraId="5D72689A" w14:textId="13D47AAC"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14:paraId="372115DD" w14:textId="33B22FB5"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2）企业应与合格供方签订较为固定的供需合同或技术协议，以确保物料的质量和稳定性。对于涉及最终产品的安全、性能的采购物料，应保存对供方实施控制的记录。采</w:t>
      </w:r>
      <w:r w:rsidR="00553CBA">
        <w:rPr>
          <w:rFonts w:ascii="仿宋_GB2312" w:eastAsia="仿宋_GB2312" w:hAnsi="仿宋_GB2312" w:cs="仿宋_GB2312" w:hint="eastAsia"/>
          <w:color w:val="000000"/>
          <w:sz w:val="32"/>
          <w:szCs w:val="28"/>
        </w:rPr>
        <w:lastRenderedPageBreak/>
        <w:t>购文件中（可以在与供方的协议中形成）的表述应符合采购信息的要求，确保采购信息的可追溯。</w:t>
      </w:r>
    </w:p>
    <w:p w14:paraId="0568315A"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4.采购记录</w:t>
      </w:r>
    </w:p>
    <w:p w14:paraId="20F51A91" w14:textId="21CB593E"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1）企业应保存所有采购过程活动记录，如采购合同、入库单等信息，应保证关键物料的正向及逆向可追溯。</w:t>
      </w:r>
    </w:p>
    <w:p w14:paraId="62B13FB5" w14:textId="7E9D9952"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2）在采购方面：</w:t>
      </w:r>
    </w:p>
    <w:p w14:paraId="6FDDF28A"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企业关键物料供应商的资质、质量协议及采购合同应完整，应满足可追溯性要求，应明确物料名称、规格型号、主要技术指标、验收规范等内容。</w:t>
      </w:r>
    </w:p>
    <w:p w14:paraId="3542FF84"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企业关键物料的随机资料如说明书、认证证书、检验报告、安装记录、调试测试记录等应满足要求。</w:t>
      </w:r>
    </w:p>
    <w:p w14:paraId="04AE4B28"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14:paraId="7C3C7E40" w14:textId="77777777" w:rsidR="00B515B5" w:rsidRDefault="00553CB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企业关键物料的来料检验规范、检验记录应完整，应满足技术要求及可追溯性要求</w:t>
      </w:r>
      <w:r>
        <w:rPr>
          <w:rFonts w:ascii="仿宋_GB2312" w:eastAsia="仿宋_GB2312" w:hAnsi="仿宋_GB2312" w:cs="仿宋_GB2312" w:hint="eastAsia"/>
          <w:color w:val="000000"/>
          <w:sz w:val="32"/>
          <w:szCs w:val="32"/>
        </w:rPr>
        <w:t>。</w:t>
      </w:r>
    </w:p>
    <w:p w14:paraId="75EE7288"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5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⑤</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企业关键物料供应商定期评价或再评价记录应完整、充分，应按照供应商管理制度进行筛选。</w:t>
      </w:r>
    </w:p>
    <w:p w14:paraId="471638A4" w14:textId="77777777" w:rsidR="00B515B5" w:rsidRDefault="00553CBA">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6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⑥</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当采购的关键物料不合格时，企业应按照不合格品控制要求进行评审、处置，若发生严重不合格时，应进行退换货等处理。</w:t>
      </w:r>
    </w:p>
    <w:p w14:paraId="34744F69"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5.采购物料的验证</w:t>
      </w:r>
    </w:p>
    <w:p w14:paraId="240E7616"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lastRenderedPageBreak/>
        <w:t>企业应按规定的采购控制程序和供应商审核指南等要求实施采购验证。应具有采购产品的进货检验规范，明确检验项目、检验方法（包括检验设备）、抽样方法、判定准则等。</w:t>
      </w:r>
    </w:p>
    <w:p w14:paraId="3302A59F"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225" w:name="_Toc16883"/>
      <w:bookmarkStart w:id="226" w:name="_Toc27922"/>
      <w:bookmarkStart w:id="227" w:name="_Toc18403"/>
      <w:bookmarkStart w:id="228" w:name="_Toc14658"/>
      <w:bookmarkStart w:id="229" w:name="_Toc1987"/>
      <w:bookmarkStart w:id="230" w:name="_Toc2200"/>
      <w:bookmarkStart w:id="231" w:name="_Toc27059"/>
      <w:bookmarkStart w:id="232" w:name="_Toc20722"/>
      <w:bookmarkStart w:id="233" w:name="_Toc10480"/>
      <w:bookmarkStart w:id="234" w:name="_Toc23671"/>
      <w:bookmarkStart w:id="235" w:name="_Toc20031"/>
      <w:bookmarkStart w:id="236" w:name="_Toc4961"/>
      <w:bookmarkStart w:id="237" w:name="_Toc17788"/>
      <w:bookmarkStart w:id="238" w:name="_Toc23505"/>
      <w:r>
        <w:rPr>
          <w:rFonts w:ascii="楷体_GB2312" w:eastAsia="楷体_GB2312" w:hAnsi="楷体_GB2312" w:cs="楷体_GB2312" w:hint="eastAsia"/>
          <w:sz w:val="32"/>
          <w:szCs w:val="32"/>
        </w:rPr>
        <w:t>（七）生产管理</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7989D41" w14:textId="77777777" w:rsidR="00B515B5" w:rsidRDefault="00553CBA">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不涉及。</w:t>
      </w:r>
    </w:p>
    <w:p w14:paraId="04D58DF3" w14:textId="77777777" w:rsidR="00B515B5" w:rsidRDefault="00553CBA">
      <w:pPr>
        <w:spacing w:line="560" w:lineRule="exact"/>
        <w:ind w:firstLineChars="200" w:firstLine="640"/>
        <w:outlineLvl w:val="2"/>
        <w:rPr>
          <w:rFonts w:ascii="楷体_GB2312" w:eastAsia="楷体_GB2312" w:hAnsi="楷体_GB2312" w:cs="楷体_GB2312"/>
          <w:sz w:val="32"/>
          <w:szCs w:val="32"/>
        </w:rPr>
      </w:pPr>
      <w:bookmarkStart w:id="239" w:name="_Toc29436"/>
      <w:bookmarkStart w:id="240" w:name="_Toc7571"/>
      <w:bookmarkStart w:id="241" w:name="_Toc21004"/>
      <w:bookmarkStart w:id="242" w:name="_Toc3711"/>
      <w:bookmarkStart w:id="243" w:name="_Toc30271"/>
      <w:bookmarkStart w:id="244" w:name="_Toc13968"/>
      <w:bookmarkStart w:id="245" w:name="_Toc16182"/>
      <w:bookmarkStart w:id="246" w:name="_Toc22554"/>
      <w:bookmarkStart w:id="247" w:name="_Toc26099"/>
      <w:bookmarkStart w:id="248" w:name="_Toc29892"/>
      <w:bookmarkStart w:id="249" w:name="_Toc15873"/>
      <w:bookmarkStart w:id="250" w:name="_Toc22987"/>
      <w:bookmarkStart w:id="251" w:name="_Toc32652"/>
      <w:bookmarkStart w:id="252" w:name="_Toc27419"/>
      <w:r>
        <w:rPr>
          <w:rFonts w:ascii="楷体_GB2312" w:eastAsia="楷体_GB2312" w:hAnsi="楷体_GB2312" w:cs="楷体_GB2312" w:hint="eastAsia"/>
          <w:sz w:val="32"/>
          <w:szCs w:val="32"/>
        </w:rPr>
        <w:t>（八）质量控制</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2E27157" w14:textId="77777777" w:rsidR="00B515B5" w:rsidRDefault="00553CB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28"/>
        </w:rPr>
        <w:t>企业应建立质量控制程序，规定检验部门、人员、操作等要求，并规定检验仪器设备的使用、校准等要求。</w:t>
      </w:r>
    </w:p>
    <w:p w14:paraId="5422EBDF"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1.控制程序</w:t>
      </w:r>
    </w:p>
    <w:p w14:paraId="5ABFBEF9" w14:textId="0BC1FE76" w:rsidR="00B515B5" w:rsidRDefault="00E5525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sz w:val="32"/>
          <w:szCs w:val="32"/>
        </w:rPr>
        <w:t>1）企业应建立相应质量控制程序文件，如：检验控制程序、不合格品控制程序、监视测量设备管理控制程序等。</w:t>
      </w:r>
    </w:p>
    <w:p w14:paraId="737DA936" w14:textId="770B1CFA" w:rsidR="00B515B5" w:rsidRDefault="00E5525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sz w:val="32"/>
          <w:szCs w:val="32"/>
        </w:rPr>
        <w:t>2）企业建立的质量控制文件应包含：来料检验、过程检验、委托检验、不合格品的来源、分类、处置流程及方式，监视测量设备的检定/校准、使用和维护等。</w:t>
      </w:r>
    </w:p>
    <w:p w14:paraId="0BD1497B"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rPr>
        <w:t>2.来料、过程控制</w:t>
      </w:r>
    </w:p>
    <w:p w14:paraId="6B7D9A1E" w14:textId="654B3BB1"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1）</w:t>
      </w:r>
      <w:r w:rsidR="00553CBA">
        <w:rPr>
          <w:rFonts w:ascii="仿宋_GB2312" w:eastAsia="仿宋_GB2312" w:hAnsi="仿宋_GB2312" w:cs="仿宋_GB2312" w:hint="eastAsia"/>
          <w:sz w:val="32"/>
          <w:szCs w:val="32"/>
        </w:rPr>
        <w:t>企业应根据物料的管理类别建立相应的来料、过程检验规程。</w:t>
      </w:r>
    </w:p>
    <w:p w14:paraId="765DDF66" w14:textId="687EBB9B" w:rsidR="00B515B5" w:rsidRDefault="00E5525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2）</w:t>
      </w:r>
      <w:r w:rsidR="00553CBA">
        <w:rPr>
          <w:rFonts w:ascii="仿宋_GB2312" w:eastAsia="仿宋_GB2312" w:hAnsi="仿宋_GB2312" w:cs="仿宋_GB2312" w:hint="eastAsia"/>
          <w:sz w:val="32"/>
          <w:szCs w:val="32"/>
        </w:rPr>
        <w:t>来料检验规程一般包含通用物料检验规程和专用物料检验规程。</w:t>
      </w:r>
      <w:r w:rsidR="00553CBA">
        <w:rPr>
          <w:rFonts w:ascii="仿宋_GB2312" w:eastAsia="仿宋_GB2312" w:hAnsi="仿宋_GB2312" w:cs="仿宋_GB2312" w:hint="eastAsia"/>
          <w:sz w:val="32"/>
          <w:szCs w:val="28"/>
        </w:rPr>
        <w:t>外购设备验收应包含出厂合格资料和现场验收报告。</w:t>
      </w:r>
    </w:p>
    <w:p w14:paraId="61A6DD28" w14:textId="452EA52C" w:rsidR="00B515B5" w:rsidRDefault="00E5525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sz w:val="32"/>
          <w:szCs w:val="28"/>
        </w:rPr>
        <w:t>3）</w:t>
      </w:r>
      <w:r w:rsidR="00553CBA">
        <w:rPr>
          <w:rFonts w:ascii="仿宋_GB2312" w:eastAsia="仿宋_GB2312" w:hAnsi="仿宋_GB2312" w:cs="仿宋_GB2312" w:hint="eastAsia"/>
          <w:sz w:val="32"/>
          <w:szCs w:val="32"/>
        </w:rPr>
        <w:t>过程检验规程一般应包含单元测试、集成测试、系统测试、网络安全测试、回归测试等。</w:t>
      </w:r>
    </w:p>
    <w:p w14:paraId="6B93C3CC" w14:textId="77777777" w:rsidR="00B515B5" w:rsidRDefault="00553CBA">
      <w:pPr>
        <w:spacing w:line="56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hint="eastAsia"/>
          <w:sz w:val="32"/>
          <w:szCs w:val="28"/>
        </w:rPr>
        <w:t>检验过程</w:t>
      </w:r>
    </w:p>
    <w:p w14:paraId="0074C1AD" w14:textId="5D80A48D" w:rsidR="00B515B5" w:rsidRDefault="00E5525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color w:val="000000"/>
          <w:sz w:val="32"/>
          <w:szCs w:val="28"/>
        </w:rPr>
        <w:lastRenderedPageBreak/>
        <w:t>（</w:t>
      </w:r>
      <w:r w:rsidR="00553CBA">
        <w:rPr>
          <w:rFonts w:ascii="仿宋_GB2312" w:eastAsia="仿宋_GB2312" w:hAnsi="仿宋_GB2312" w:cs="仿宋_GB2312" w:hint="eastAsia"/>
          <w:sz w:val="32"/>
          <w:szCs w:val="28"/>
        </w:rPr>
        <w:t>1）企业应根据产品的特性建立检验相关程序文件，包含来料检验、过程检验规范，并出具相应的检验报告或证书。</w:t>
      </w:r>
    </w:p>
    <w:p w14:paraId="450B0D6B" w14:textId="1AA316FE"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sz w:val="32"/>
          <w:szCs w:val="28"/>
        </w:rPr>
        <w:t>2）</w:t>
      </w:r>
      <w:r w:rsidR="00553CBA">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14:paraId="54DD4921" w14:textId="7106F71D"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Arial" w:cs="Arial" w:hint="eastAsia"/>
          <w:color w:val="000000"/>
          <w:sz w:val="32"/>
          <w:szCs w:val="28"/>
        </w:rPr>
        <w:t>3）企业对加速器控制系统来料检验、过程检验部分内容应按照相关检验规程要求在项目现场开展，并对合格品、不合格品进行标识，便于检查和监控。</w:t>
      </w:r>
    </w:p>
    <w:p w14:paraId="6E537177" w14:textId="77777777" w:rsidR="00B515B5" w:rsidRDefault="00553CBA">
      <w:pPr>
        <w:pStyle w:val="4"/>
        <w:keepNext w:val="0"/>
        <w:keepLines w:val="0"/>
        <w:ind w:firstLine="640"/>
        <w:rPr>
          <w:rFonts w:ascii="仿宋_GB2312" w:hAnsi="仿宋_GB2312" w:cs="仿宋_GB2312"/>
        </w:rPr>
      </w:pPr>
      <w:r>
        <w:rPr>
          <w:rFonts w:ascii="仿宋_GB2312" w:hAnsi="仿宋_GB2312" w:cs="仿宋_GB2312" w:hint="eastAsia"/>
          <w:color w:val="000000"/>
        </w:rPr>
        <w:t>4</w:t>
      </w:r>
      <w:r>
        <w:rPr>
          <w:rFonts w:ascii="仿宋_GB2312" w:hAnsi="仿宋_GB2312" w:cs="仿宋_GB2312" w:hint="eastAsia"/>
        </w:rPr>
        <w:t>.不合格品控制</w:t>
      </w:r>
    </w:p>
    <w:p w14:paraId="7D144897" w14:textId="0A471D1A"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1）企业应建立不合格品控制程序，规定不合格品控制的部门和人员的职责与权限。</w:t>
      </w:r>
    </w:p>
    <w:p w14:paraId="0135031D" w14:textId="473271D3"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14:paraId="3F3284B2" w14:textId="3851D997"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14:paraId="161B76EE" w14:textId="4188646A"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r w:rsidR="00553CBA">
        <w:rPr>
          <w:rFonts w:ascii="仿宋_GB2312" w:eastAsia="仿宋_GB2312" w:hAnsi="仿宋_GB2312" w:cs="仿宋_GB2312" w:hint="eastAsia"/>
          <w:color w:val="000000"/>
          <w:sz w:val="32"/>
          <w:szCs w:val="28"/>
        </w:rPr>
        <w:t>4）企业应对可以返工的不合格物料作出规定，应按照返工文件要求进行返工活动，并记录。</w:t>
      </w:r>
    </w:p>
    <w:p w14:paraId="4A9E3B6F" w14:textId="00BCB022" w:rsidR="00B515B5" w:rsidRDefault="00E5525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w:t>
      </w:r>
      <w:bookmarkStart w:id="253" w:name="_GoBack"/>
      <w:bookmarkEnd w:id="253"/>
      <w:r w:rsidR="00553CBA">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14:paraId="438718B6" w14:textId="77777777" w:rsidR="00B515B5" w:rsidRDefault="00553CBA">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5.记录要求</w:t>
      </w:r>
    </w:p>
    <w:p w14:paraId="35B5406B" w14:textId="77777777" w:rsidR="00B515B5" w:rsidRDefault="00553CBA">
      <w:pPr>
        <w:spacing w:line="560" w:lineRule="exact"/>
        <w:ind w:firstLineChars="200" w:firstLine="640"/>
      </w:pPr>
      <w:r>
        <w:rPr>
          <w:rFonts w:ascii="仿宋_GB2312" w:eastAsia="仿宋_GB2312" w:hAnsi="仿宋_GB2312" w:cs="仿宋_GB2312" w:hint="eastAsia"/>
          <w:color w:val="000000"/>
          <w:sz w:val="32"/>
          <w:szCs w:val="28"/>
        </w:rPr>
        <w:lastRenderedPageBreak/>
        <w:t>质量控制过程中产生的记录应完整、可追溯。</w:t>
      </w:r>
    </w:p>
    <w:sectPr w:rsidR="00B515B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F3BF" w14:textId="77777777" w:rsidR="00CD4BFA" w:rsidRDefault="00CD4BFA" w:rsidP="00E34AAD">
      <w:r>
        <w:separator/>
      </w:r>
    </w:p>
  </w:endnote>
  <w:endnote w:type="continuationSeparator" w:id="0">
    <w:p w14:paraId="1F8D41E6" w14:textId="77777777" w:rsidR="00CD4BFA" w:rsidRDefault="00CD4BFA" w:rsidP="00E3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30647"/>
      <w:docPartObj>
        <w:docPartGallery w:val="Page Numbers (Bottom of Page)"/>
        <w:docPartUnique/>
      </w:docPartObj>
    </w:sdtPr>
    <w:sdtEndPr/>
    <w:sdtContent>
      <w:sdt>
        <w:sdtPr>
          <w:id w:val="1728636285"/>
          <w:docPartObj>
            <w:docPartGallery w:val="Page Numbers (Top of Page)"/>
            <w:docPartUnique/>
          </w:docPartObj>
        </w:sdtPr>
        <w:sdtEndPr/>
        <w:sdtContent>
          <w:p w14:paraId="2C584BBA" w14:textId="56A500A1" w:rsidR="00E34AAD" w:rsidRDefault="00E34AAD">
            <w:pPr>
              <w:pStyle w:val="a9"/>
              <w:jc w:val="center"/>
            </w:pPr>
            <w:r w:rsidRPr="00E34AAD">
              <w:rPr>
                <w:rFonts w:ascii="宋体" w:hAnsi="宋体" w:hint="eastAsia"/>
                <w:sz w:val="21"/>
                <w:szCs w:val="21"/>
              </w:rPr>
              <w:t>第</w:t>
            </w:r>
            <w:r w:rsidRPr="00E34AAD">
              <w:rPr>
                <w:rFonts w:ascii="宋体" w:hAnsi="宋体"/>
                <w:bCs/>
                <w:sz w:val="21"/>
                <w:szCs w:val="21"/>
              </w:rPr>
              <w:fldChar w:fldCharType="begin"/>
            </w:r>
            <w:r w:rsidRPr="00E34AAD">
              <w:rPr>
                <w:rFonts w:ascii="宋体" w:hAnsi="宋体"/>
                <w:bCs/>
                <w:sz w:val="21"/>
                <w:szCs w:val="21"/>
              </w:rPr>
              <w:instrText>PAGE</w:instrText>
            </w:r>
            <w:r w:rsidRPr="00E34AAD">
              <w:rPr>
                <w:rFonts w:ascii="宋体" w:hAnsi="宋体"/>
                <w:bCs/>
                <w:sz w:val="21"/>
                <w:szCs w:val="21"/>
              </w:rPr>
              <w:fldChar w:fldCharType="separate"/>
            </w:r>
            <w:r w:rsidR="00E5525B">
              <w:rPr>
                <w:rFonts w:ascii="宋体" w:hAnsi="宋体"/>
                <w:bCs/>
                <w:noProof/>
                <w:sz w:val="21"/>
                <w:szCs w:val="21"/>
              </w:rPr>
              <w:t>1</w:t>
            </w:r>
            <w:r w:rsidRPr="00E34AAD">
              <w:rPr>
                <w:rFonts w:ascii="宋体" w:hAnsi="宋体"/>
                <w:bCs/>
                <w:sz w:val="21"/>
                <w:szCs w:val="21"/>
              </w:rPr>
              <w:fldChar w:fldCharType="end"/>
            </w:r>
            <w:r w:rsidRPr="00E34AAD">
              <w:rPr>
                <w:rFonts w:ascii="宋体" w:hAnsi="宋体" w:hint="eastAsia"/>
                <w:bCs/>
                <w:sz w:val="21"/>
                <w:szCs w:val="21"/>
              </w:rPr>
              <w:t>页 共</w:t>
            </w:r>
            <w:r w:rsidRPr="00E34AAD">
              <w:rPr>
                <w:rFonts w:ascii="宋体" w:hAnsi="宋体"/>
                <w:bCs/>
                <w:sz w:val="21"/>
                <w:szCs w:val="21"/>
              </w:rPr>
              <w:fldChar w:fldCharType="begin"/>
            </w:r>
            <w:r w:rsidRPr="00E34AAD">
              <w:rPr>
                <w:rFonts w:ascii="宋体" w:hAnsi="宋体"/>
                <w:bCs/>
                <w:sz w:val="21"/>
                <w:szCs w:val="21"/>
              </w:rPr>
              <w:instrText>NUMPAGES</w:instrText>
            </w:r>
            <w:r w:rsidRPr="00E34AAD">
              <w:rPr>
                <w:rFonts w:ascii="宋体" w:hAnsi="宋体"/>
                <w:bCs/>
                <w:sz w:val="21"/>
                <w:szCs w:val="21"/>
              </w:rPr>
              <w:fldChar w:fldCharType="separate"/>
            </w:r>
            <w:r w:rsidR="00E5525B">
              <w:rPr>
                <w:rFonts w:ascii="宋体" w:hAnsi="宋体"/>
                <w:bCs/>
                <w:noProof/>
                <w:sz w:val="21"/>
                <w:szCs w:val="21"/>
              </w:rPr>
              <w:t>14</w:t>
            </w:r>
            <w:r w:rsidRPr="00E34AAD">
              <w:rPr>
                <w:rFonts w:ascii="宋体" w:hAnsi="宋体"/>
                <w:bCs/>
                <w:sz w:val="21"/>
                <w:szCs w:val="21"/>
              </w:rPr>
              <w:fldChar w:fldCharType="end"/>
            </w:r>
            <w:r w:rsidRPr="00E34AAD">
              <w:rPr>
                <w:rFonts w:ascii="宋体" w:hAnsi="宋体" w:hint="eastAsia"/>
                <w:bCs/>
                <w:sz w:val="21"/>
                <w:szCs w:val="21"/>
              </w:rPr>
              <w:t>页</w:t>
            </w:r>
          </w:p>
        </w:sdtContent>
      </w:sdt>
    </w:sdtContent>
  </w:sdt>
  <w:p w14:paraId="44E1BF13" w14:textId="77777777" w:rsidR="00E34AAD" w:rsidRDefault="00E34AA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8C948" w14:textId="77777777" w:rsidR="00CD4BFA" w:rsidRDefault="00CD4BFA" w:rsidP="00E34AAD">
      <w:r>
        <w:separator/>
      </w:r>
    </w:p>
  </w:footnote>
  <w:footnote w:type="continuationSeparator" w:id="0">
    <w:p w14:paraId="501E3FD8" w14:textId="77777777" w:rsidR="00CD4BFA" w:rsidRDefault="00CD4BFA" w:rsidP="00E34A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5EA18"/>
    <w:multiLevelType w:val="singleLevel"/>
    <w:tmpl w:val="9285EA18"/>
    <w:lvl w:ilvl="0">
      <w:start w:val="1"/>
      <w:numFmt w:val="decimal"/>
      <w:suff w:val="nothing"/>
      <w:lvlText w:val="%1"/>
      <w:lvlJc w:val="left"/>
      <w:pPr>
        <w:ind w:left="0" w:firstLine="403"/>
      </w:pPr>
      <w:rPr>
        <w:rFonts w:hint="default"/>
      </w:rPr>
    </w:lvl>
  </w:abstractNum>
  <w:abstractNum w:abstractNumId="1" w15:restartNumberingAfterBreak="0">
    <w:nsid w:val="ABC46853"/>
    <w:multiLevelType w:val="singleLevel"/>
    <w:tmpl w:val="ABC46853"/>
    <w:lvl w:ilvl="0">
      <w:start w:val="1"/>
      <w:numFmt w:val="chineseCounting"/>
      <w:suff w:val="nothing"/>
      <w:lvlText w:val="（%1）"/>
      <w:lvlJc w:val="left"/>
      <w:rPr>
        <w:rFonts w:hint="eastAsia"/>
      </w:rPr>
    </w:lvl>
  </w:abstractNum>
  <w:abstractNum w:abstractNumId="2" w15:restartNumberingAfterBreak="0">
    <w:nsid w:val="C3B33BF0"/>
    <w:multiLevelType w:val="singleLevel"/>
    <w:tmpl w:val="C3B33BF0"/>
    <w:lvl w:ilvl="0">
      <w:start w:val="1"/>
      <w:numFmt w:val="chineseCounting"/>
      <w:suff w:val="nothing"/>
      <w:lvlText w:val="（%1）"/>
      <w:lvlJc w:val="left"/>
      <w:rPr>
        <w:rFonts w:hint="eastAsia"/>
      </w:rPr>
    </w:lvl>
  </w:abstractNum>
  <w:abstractNum w:abstractNumId="3" w15:restartNumberingAfterBreak="0">
    <w:nsid w:val="E538340A"/>
    <w:multiLevelType w:val="singleLevel"/>
    <w:tmpl w:val="E538340A"/>
    <w:lvl w:ilvl="0">
      <w:start w:val="1"/>
      <w:numFmt w:val="chineseCounting"/>
      <w:suff w:val="nothing"/>
      <w:lvlText w:val="%1、"/>
      <w:lvlJc w:val="left"/>
      <w:rPr>
        <w:rFonts w:hint="eastAsia"/>
      </w:rPr>
    </w:lvl>
  </w:abstractNum>
  <w:abstractNum w:abstractNumId="4" w15:restartNumberingAfterBreak="0">
    <w:nsid w:val="4C7A1E99"/>
    <w:multiLevelType w:val="singleLevel"/>
    <w:tmpl w:val="323C7E26"/>
    <w:lvl w:ilvl="0">
      <w:start w:val="1"/>
      <w:numFmt w:val="decimal"/>
      <w:suff w:val="nothing"/>
      <w:lvlText w:val="%1"/>
      <w:lvlJc w:val="left"/>
      <w:pPr>
        <w:ind w:left="0" w:firstLine="400"/>
      </w:pPr>
      <w:rPr>
        <w:rFonts w:hint="default"/>
      </w:rPr>
    </w:lvl>
  </w:abstractNum>
  <w:abstractNum w:abstractNumId="5" w15:restartNumberingAfterBreak="0">
    <w:nsid w:val="64296DE6"/>
    <w:multiLevelType w:val="singleLevel"/>
    <w:tmpl w:val="64296DE6"/>
    <w:lvl w:ilvl="0">
      <w:start w:val="2"/>
      <w:numFmt w:val="chineseCounting"/>
      <w:suff w:val="space"/>
      <w:lvlText w:val="第%1章"/>
      <w:lvlJc w:val="left"/>
      <w:rPr>
        <w:rFonts w:hint="eastAsia"/>
      </w:rPr>
    </w:lvl>
  </w:abstractNum>
  <w:abstractNum w:abstractNumId="6"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B515B5"/>
    <w:rsid w:val="00553CBA"/>
    <w:rsid w:val="00B515B5"/>
    <w:rsid w:val="00CD4BFA"/>
    <w:rsid w:val="00E34AAD"/>
    <w:rsid w:val="00E5525B"/>
    <w:rsid w:val="03A75853"/>
    <w:rsid w:val="06540450"/>
    <w:rsid w:val="094B0D05"/>
    <w:rsid w:val="0D2C4337"/>
    <w:rsid w:val="12A93488"/>
    <w:rsid w:val="1E5E57C0"/>
    <w:rsid w:val="27335D35"/>
    <w:rsid w:val="2A7C2962"/>
    <w:rsid w:val="2F8F5B50"/>
    <w:rsid w:val="311E677D"/>
    <w:rsid w:val="38AA468F"/>
    <w:rsid w:val="3C3C26CA"/>
    <w:rsid w:val="415777EA"/>
    <w:rsid w:val="48C30A55"/>
    <w:rsid w:val="68946E20"/>
    <w:rsid w:val="6E116715"/>
    <w:rsid w:val="7253714C"/>
    <w:rsid w:val="747E2395"/>
    <w:rsid w:val="797E5BF6"/>
    <w:rsid w:val="7D29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3BA76"/>
  <w15:docId w15:val="{8483F673-7721-4D14-BF25-93E49354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a6">
    <w:name w:val="表"/>
    <w:basedOn w:val="a4"/>
    <w:next w:val="a4"/>
    <w:qFormat/>
  </w:style>
  <w:style w:type="paragraph" w:styleId="a7">
    <w:name w:val="header"/>
    <w:basedOn w:val="a0"/>
    <w:link w:val="a8"/>
    <w:rsid w:val="00E34AA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E34AAD"/>
    <w:rPr>
      <w:rFonts w:ascii="Calibri" w:eastAsia="宋体" w:hAnsi="Calibri" w:cs="宋体"/>
      <w:kern w:val="2"/>
      <w:sz w:val="18"/>
      <w:szCs w:val="18"/>
    </w:rPr>
  </w:style>
  <w:style w:type="paragraph" w:styleId="a9">
    <w:name w:val="footer"/>
    <w:basedOn w:val="a0"/>
    <w:link w:val="aa"/>
    <w:uiPriority w:val="99"/>
    <w:rsid w:val="00E34AAD"/>
    <w:pPr>
      <w:tabs>
        <w:tab w:val="center" w:pos="4153"/>
        <w:tab w:val="right" w:pos="8306"/>
      </w:tabs>
      <w:snapToGrid w:val="0"/>
      <w:jc w:val="left"/>
    </w:pPr>
    <w:rPr>
      <w:sz w:val="18"/>
      <w:szCs w:val="18"/>
    </w:rPr>
  </w:style>
  <w:style w:type="character" w:customStyle="1" w:styleId="aa">
    <w:name w:val="页脚 字符"/>
    <w:basedOn w:val="a1"/>
    <w:link w:val="a9"/>
    <w:uiPriority w:val="99"/>
    <w:rsid w:val="00E34AAD"/>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3</cp:revision>
  <dcterms:created xsi:type="dcterms:W3CDTF">2024-10-18T06:42:00Z</dcterms:created>
  <dcterms:modified xsi:type="dcterms:W3CDTF">2024-12-27T12:43:00Z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1EFE020E75484305B82A848F90ADB5E7_12</vt:lpwstr>
  </property>
</Properties>
</file>