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DF" w:rsidRDefault="002F4DF3">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附录2：</w:t>
      </w:r>
    </w:p>
    <w:p w:rsidR="00617FDF" w:rsidRDefault="002F4DF3">
      <w:pPr>
        <w:spacing w:beforeLines="50" w:before="156" w:afterLines="100" w:after="312" w:line="560" w:lineRule="exact"/>
        <w:jc w:val="center"/>
        <w:outlineLvl w:val="1"/>
        <w:rPr>
          <w:rFonts w:ascii="黑体" w:eastAsia="黑体" w:hAnsi="黑体"/>
          <w:sz w:val="36"/>
          <w:szCs w:val="36"/>
        </w:rPr>
      </w:pPr>
      <w:bookmarkStart w:id="0" w:name="_Toc31603"/>
      <w:bookmarkStart w:id="1" w:name="_Toc14772"/>
      <w:bookmarkStart w:id="2" w:name="_Toc27178"/>
      <w:bookmarkStart w:id="3" w:name="_Toc19911"/>
      <w:bookmarkStart w:id="4" w:name="_Toc3499"/>
      <w:bookmarkStart w:id="5" w:name="_Toc5500"/>
      <w:bookmarkStart w:id="6" w:name="_Toc7662"/>
      <w:bookmarkStart w:id="7" w:name="_Toc29138"/>
      <w:bookmarkStart w:id="8" w:name="_Toc1033"/>
      <w:bookmarkStart w:id="9" w:name="_Toc20455"/>
      <w:bookmarkStart w:id="10" w:name="_Toc13823"/>
      <w:bookmarkStart w:id="11" w:name="_Toc28104"/>
      <w:bookmarkStart w:id="12" w:name="_Toc12573"/>
      <w:bookmarkStart w:id="13" w:name="_Toc10312"/>
      <w:r>
        <w:rPr>
          <w:rFonts w:ascii="方正小标宋简体" w:eastAsia="方正小标宋简体" w:hAnsi="方正小标宋简体" w:cs="方正小标宋简体" w:hint="eastAsia"/>
          <w:sz w:val="44"/>
          <w:szCs w:val="44"/>
        </w:rPr>
        <w:t>治疗子系统检查要点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617FDF" w:rsidRDefault="002F4DF3">
      <w:pPr>
        <w:adjustRightInd w:val="0"/>
        <w:snapToGrid w:val="0"/>
        <w:spacing w:line="360" w:lineRule="auto"/>
        <w:jc w:val="center"/>
        <w:outlineLvl w:val="0"/>
        <w:rPr>
          <w:rFonts w:ascii="黑体" w:eastAsia="黑体" w:hAnsi="黑体"/>
          <w:sz w:val="36"/>
          <w:szCs w:val="36"/>
        </w:rPr>
      </w:pPr>
      <w:r>
        <w:rPr>
          <w:rFonts w:ascii="黑体" w:eastAsia="黑体" w:hAnsi="黑体" w:hint="eastAsia"/>
          <w:sz w:val="36"/>
          <w:szCs w:val="36"/>
        </w:rPr>
        <w:t>第四章  患者支撑系统</w:t>
      </w:r>
    </w:p>
    <w:p w:rsidR="00617FDF" w:rsidRPr="00F608B5" w:rsidRDefault="00F608B5" w:rsidP="00F608B5">
      <w:pPr>
        <w:spacing w:line="360" w:lineRule="auto"/>
        <w:jc w:val="center"/>
        <w:rPr>
          <w:rFonts w:ascii="仿宋_GB2312" w:eastAsia="仿宋_GB2312" w:hAnsi="黑体"/>
          <w:sz w:val="36"/>
          <w:szCs w:val="36"/>
        </w:rPr>
      </w:pPr>
      <w:r w:rsidRPr="00F608B5">
        <w:rPr>
          <w:rFonts w:ascii="仿宋_GB2312" w:eastAsia="仿宋_GB2312" w:hAnsi="黑体" w:hint="eastAsia"/>
          <w:sz w:val="36"/>
          <w:szCs w:val="36"/>
        </w:rPr>
        <w:t>（征求意见稿）</w:t>
      </w:r>
    </w:p>
    <w:p w:rsidR="00617FDF" w:rsidRDefault="002F4DF3">
      <w:pPr>
        <w:spacing w:line="560" w:lineRule="exact"/>
        <w:outlineLvl w:val="1"/>
        <w:rPr>
          <w:rFonts w:ascii="黑体" w:eastAsia="黑体" w:hAnsi="黑体" w:cs="黑体"/>
          <w:sz w:val="32"/>
          <w:szCs w:val="32"/>
        </w:rPr>
      </w:pPr>
      <w:bookmarkStart w:id="14" w:name="_Toc23853"/>
      <w:bookmarkStart w:id="15" w:name="_Toc4145"/>
      <w:bookmarkStart w:id="16" w:name="_Toc11794"/>
      <w:bookmarkStart w:id="17" w:name="_Toc5263"/>
      <w:bookmarkStart w:id="18" w:name="_Toc29411"/>
      <w:bookmarkStart w:id="19" w:name="_Toc21597"/>
      <w:bookmarkStart w:id="20" w:name="_Toc14489"/>
      <w:bookmarkStart w:id="21" w:name="_Toc18229"/>
      <w:bookmarkStart w:id="22" w:name="_Toc1067"/>
      <w:bookmarkStart w:id="23" w:name="_Toc7147"/>
      <w:bookmarkStart w:id="24" w:name="_Toc10719"/>
      <w:bookmarkStart w:id="25" w:name="_Toc15501"/>
      <w:bookmarkStart w:id="26" w:name="_Toc11661"/>
      <w:bookmarkStart w:id="27" w:name="_Toc26177"/>
      <w:r>
        <w:rPr>
          <w:rFonts w:ascii="黑体" w:eastAsia="黑体" w:hAnsi="黑体" w:cs="黑体" w:hint="eastAsia"/>
          <w:sz w:val="32"/>
          <w:szCs w:val="32"/>
        </w:rPr>
        <w:t>一、产品介绍</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17FDF" w:rsidRDefault="002F4DF3">
      <w:pPr>
        <w:spacing w:line="560" w:lineRule="exact"/>
        <w:ind w:firstLineChars="200" w:firstLine="640"/>
        <w:outlineLvl w:val="2"/>
        <w:rPr>
          <w:rFonts w:ascii="楷体" w:eastAsia="楷体" w:hAnsi="楷体" w:cs="楷体"/>
          <w:sz w:val="32"/>
          <w:szCs w:val="32"/>
        </w:rPr>
      </w:pPr>
      <w:bookmarkStart w:id="28" w:name="_Toc32563"/>
      <w:bookmarkStart w:id="29" w:name="_Toc12222"/>
      <w:bookmarkStart w:id="30" w:name="_Toc9468"/>
      <w:bookmarkStart w:id="31" w:name="_Toc24704"/>
      <w:bookmarkStart w:id="32" w:name="_Toc12928"/>
      <w:bookmarkStart w:id="33" w:name="_Toc13430"/>
      <w:bookmarkStart w:id="34" w:name="_Toc392"/>
      <w:bookmarkStart w:id="35" w:name="_Toc11664"/>
      <w:bookmarkStart w:id="36" w:name="_Toc11507"/>
      <w:bookmarkStart w:id="37" w:name="_Toc20809"/>
      <w:bookmarkStart w:id="38" w:name="_Toc18626"/>
      <w:bookmarkStart w:id="39" w:name="_Toc10515"/>
      <w:bookmarkStart w:id="40" w:name="_Toc8318"/>
      <w:bookmarkStart w:id="41" w:name="_Toc28635"/>
      <w:r>
        <w:rPr>
          <w:rFonts w:ascii="楷体" w:eastAsia="楷体" w:hAnsi="楷体" w:cs="楷体" w:hint="eastAsia"/>
          <w:sz w:val="32"/>
          <w:szCs w:val="32"/>
        </w:rPr>
        <w:t>（一）预期用途</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17FDF" w:rsidRDefault="002F4DF3">
      <w:pPr>
        <w:spacing w:line="560" w:lineRule="exact"/>
        <w:ind w:firstLineChars="200" w:firstLine="640"/>
        <w:rPr>
          <w:rFonts w:ascii="仿宋" w:eastAsia="仿宋" w:hAnsi="仿宋" w:cs="Arial"/>
          <w:color w:val="000000"/>
          <w:kern w:val="0"/>
          <w:sz w:val="32"/>
          <w:szCs w:val="28"/>
        </w:rPr>
      </w:pPr>
      <w:r>
        <w:rPr>
          <w:rFonts w:ascii="仿宋" w:eastAsia="仿宋" w:hAnsi="仿宋" w:cs="Arial" w:hint="eastAsia"/>
          <w:color w:val="000000"/>
          <w:kern w:val="0"/>
          <w:sz w:val="32"/>
          <w:szCs w:val="28"/>
        </w:rPr>
        <w:t>患者支撑系统在碳离子/质子治疗系统中是一种用于支撑患者的医疗器械，可通过多个移动轴将患者移至放射治疗目标位置，为放射治疗设备提供灵活、高精度的患者摆位手段。</w:t>
      </w:r>
    </w:p>
    <w:p w:rsidR="00617FDF" w:rsidRDefault="002F4DF3">
      <w:pPr>
        <w:spacing w:line="560" w:lineRule="exact"/>
        <w:ind w:firstLineChars="200" w:firstLine="640"/>
        <w:outlineLvl w:val="2"/>
        <w:rPr>
          <w:rFonts w:ascii="楷体" w:eastAsia="楷体" w:hAnsi="楷体" w:cs="楷体"/>
          <w:sz w:val="32"/>
          <w:szCs w:val="32"/>
        </w:rPr>
      </w:pPr>
      <w:bookmarkStart w:id="42" w:name="_Toc8443"/>
      <w:bookmarkStart w:id="43" w:name="_Toc8929"/>
      <w:bookmarkStart w:id="44" w:name="_Toc9495"/>
      <w:bookmarkStart w:id="45" w:name="_Toc31905"/>
      <w:bookmarkStart w:id="46" w:name="_Toc6762"/>
      <w:bookmarkStart w:id="47" w:name="_Toc11007"/>
      <w:bookmarkStart w:id="48" w:name="_Toc10313"/>
      <w:bookmarkStart w:id="49" w:name="_Toc15923"/>
      <w:bookmarkStart w:id="50" w:name="_Toc18668"/>
      <w:bookmarkStart w:id="51" w:name="_Toc24822"/>
      <w:bookmarkStart w:id="52" w:name="_Toc23948"/>
      <w:bookmarkStart w:id="53" w:name="_Toc22399"/>
      <w:bookmarkStart w:id="54" w:name="_Toc9257"/>
      <w:bookmarkStart w:id="55" w:name="_Toc32277"/>
      <w:r>
        <w:rPr>
          <w:rFonts w:ascii="楷体" w:eastAsia="楷体" w:hAnsi="楷体" w:cs="楷体" w:hint="eastAsia"/>
          <w:sz w:val="32"/>
          <w:szCs w:val="32"/>
        </w:rPr>
        <w:t>（二）工作原理</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617FDF" w:rsidRDefault="002F4DF3">
      <w:pPr>
        <w:spacing w:line="560" w:lineRule="exact"/>
        <w:ind w:firstLineChars="200" w:firstLine="640"/>
        <w:rPr>
          <w:rFonts w:ascii="仿宋" w:eastAsia="仿宋" w:hAnsi="仿宋" w:cs="Arial"/>
          <w:color w:val="000000"/>
          <w:kern w:val="0"/>
          <w:sz w:val="32"/>
          <w:szCs w:val="28"/>
        </w:rPr>
      </w:pPr>
      <w:r>
        <w:rPr>
          <w:rFonts w:ascii="仿宋" w:eastAsia="仿宋" w:hAnsi="仿宋" w:cs="Arial" w:hint="eastAsia"/>
          <w:color w:val="000000"/>
          <w:kern w:val="0"/>
          <w:sz w:val="32"/>
          <w:szCs w:val="28"/>
        </w:rPr>
        <w:t>患者支撑系统采用X、Y、Z 三个方向的直线运动、绕 X、Y、Z三个方向的旋转运动中的多种运动结合的方式，采用高精度电机和高精度的编码器实现数字化精确位置控制，可以多个自由度的运动。</w:t>
      </w:r>
    </w:p>
    <w:p w:rsidR="00617FDF" w:rsidRDefault="002F4DF3">
      <w:pPr>
        <w:spacing w:line="560" w:lineRule="exact"/>
        <w:ind w:firstLineChars="200" w:firstLine="640"/>
        <w:rPr>
          <w:rFonts w:ascii="仿宋" w:eastAsia="仿宋" w:hAnsi="仿宋" w:cs="Arial"/>
          <w:color w:val="000000"/>
          <w:kern w:val="0"/>
          <w:sz w:val="32"/>
          <w:szCs w:val="28"/>
        </w:rPr>
      </w:pPr>
      <w:r>
        <w:rPr>
          <w:rFonts w:ascii="仿宋" w:eastAsia="仿宋" w:hAnsi="仿宋" w:cs="Arial" w:hint="eastAsia"/>
          <w:color w:val="000000"/>
          <w:kern w:val="0"/>
          <w:sz w:val="32"/>
          <w:szCs w:val="28"/>
        </w:rPr>
        <w:t>在实际使用中，患者支撑系统通常结合治疗室内其他的患者定位设备，如激光定位系统、光学体表定位系统、图像引导定位系统等，根据运动手柄或治疗控制终端等用户操作端提供的运动指令进行运动，实现患者的精确摆位定位。</w:t>
      </w:r>
    </w:p>
    <w:p w:rsidR="00617FDF" w:rsidRDefault="002F4DF3">
      <w:pPr>
        <w:spacing w:line="560" w:lineRule="exact"/>
        <w:ind w:firstLineChars="200" w:firstLine="640"/>
        <w:outlineLvl w:val="2"/>
        <w:rPr>
          <w:rFonts w:ascii="楷体" w:eastAsia="楷体" w:hAnsi="楷体" w:cs="楷体"/>
          <w:sz w:val="32"/>
          <w:szCs w:val="32"/>
        </w:rPr>
      </w:pPr>
      <w:bookmarkStart w:id="56" w:name="_Toc8868"/>
      <w:bookmarkStart w:id="57" w:name="_Toc23686"/>
      <w:bookmarkStart w:id="58" w:name="_Toc13824"/>
      <w:bookmarkStart w:id="59" w:name="_Toc27760"/>
      <w:bookmarkStart w:id="60" w:name="_Toc9377"/>
      <w:bookmarkStart w:id="61" w:name="_Toc11026"/>
      <w:bookmarkStart w:id="62" w:name="_Toc28405"/>
      <w:bookmarkStart w:id="63" w:name="_Toc2868"/>
      <w:bookmarkStart w:id="64" w:name="_Toc26077"/>
      <w:bookmarkStart w:id="65" w:name="_Toc12691"/>
      <w:bookmarkStart w:id="66" w:name="_Toc16128"/>
      <w:bookmarkStart w:id="67" w:name="_Toc28598"/>
      <w:bookmarkStart w:id="68" w:name="_Toc3717"/>
      <w:bookmarkStart w:id="69" w:name="_Toc10852"/>
      <w:r>
        <w:rPr>
          <w:rFonts w:ascii="楷体" w:eastAsia="楷体" w:hAnsi="楷体" w:cs="楷体" w:hint="eastAsia"/>
          <w:sz w:val="32"/>
          <w:szCs w:val="32"/>
        </w:rPr>
        <w:t>（三）结构组成</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17FDF" w:rsidRDefault="002F4DF3">
      <w:pPr>
        <w:spacing w:line="360" w:lineRule="auto"/>
        <w:ind w:rightChars="40" w:right="84" w:firstLineChars="101" w:firstLine="323"/>
        <w:jc w:val="left"/>
        <w:rPr>
          <w:rFonts w:ascii="仿宋_GB2312" w:eastAsia="仿宋_GB2312" w:hAnsi="Arial" w:cs="Arial"/>
          <w:sz w:val="30"/>
          <w:szCs w:val="30"/>
        </w:rPr>
      </w:pPr>
      <w:r>
        <w:rPr>
          <w:rFonts w:ascii="仿宋" w:eastAsia="仿宋" w:hAnsi="仿宋" w:cs="Arial" w:hint="eastAsia"/>
          <w:color w:val="000000"/>
          <w:kern w:val="0"/>
          <w:sz w:val="32"/>
          <w:szCs w:val="28"/>
        </w:rPr>
        <w:t>患者支撑系统通常指治疗床或治疗椅等，主要的组成结构有治疗床或治疗椅本体、电源机柜、控制机柜、彩色显示器</w:t>
      </w:r>
      <w:r>
        <w:rPr>
          <w:rFonts w:ascii="仿宋" w:eastAsia="仿宋" w:hAnsi="仿宋" w:cs="Arial" w:hint="eastAsia"/>
          <w:color w:val="000000"/>
          <w:kern w:val="0"/>
          <w:sz w:val="32"/>
          <w:szCs w:val="28"/>
        </w:rPr>
        <w:lastRenderedPageBreak/>
        <w:t>（调试时使用）、微型计算机（调试时使用）、手柄控制装置和辅助电源机柜（如需）等组成。</w:t>
      </w:r>
    </w:p>
    <w:p w:rsidR="00617FDF" w:rsidRDefault="002F4DF3">
      <w:pPr>
        <w:spacing w:line="360" w:lineRule="auto"/>
        <w:outlineLvl w:val="1"/>
        <w:rPr>
          <w:rFonts w:ascii="楷体" w:eastAsia="楷体" w:hAnsi="楷体" w:cs="楷体"/>
          <w:sz w:val="32"/>
          <w:szCs w:val="32"/>
        </w:rPr>
      </w:pPr>
      <w:bookmarkStart w:id="70" w:name="_Toc6295"/>
      <w:bookmarkStart w:id="71" w:name="_Toc21800"/>
      <w:bookmarkStart w:id="72" w:name="_Toc3089"/>
      <w:bookmarkStart w:id="73" w:name="_Toc21624"/>
      <w:bookmarkStart w:id="74" w:name="_Toc5202"/>
      <w:bookmarkStart w:id="75" w:name="_Toc12133"/>
      <w:bookmarkStart w:id="76" w:name="_Toc32526"/>
      <w:bookmarkStart w:id="77" w:name="_Toc342"/>
      <w:bookmarkStart w:id="78" w:name="_Toc8998"/>
      <w:bookmarkStart w:id="79" w:name="_Toc26657"/>
      <w:bookmarkStart w:id="80" w:name="_Toc3780"/>
      <w:bookmarkStart w:id="81" w:name="_Toc31719"/>
      <w:bookmarkStart w:id="82" w:name="_Toc24250"/>
      <w:bookmarkStart w:id="83" w:name="_Toc28341"/>
      <w:r>
        <w:rPr>
          <w:rFonts w:ascii="黑体" w:eastAsia="黑体" w:hAnsi="黑体" w:cs="黑体" w:hint="eastAsia"/>
          <w:sz w:val="32"/>
          <w:szCs w:val="32"/>
        </w:rPr>
        <w:t>二、</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黑体" w:eastAsia="黑体" w:hAnsi="黑体" w:cs="黑体" w:hint="eastAsia"/>
          <w:sz w:val="32"/>
          <w:szCs w:val="32"/>
        </w:rPr>
        <w:t>主要技术指标</w:t>
      </w:r>
    </w:p>
    <w:tbl>
      <w:tblPr>
        <w:tblStyle w:val="a6"/>
        <w:tblW w:w="8521" w:type="dxa"/>
        <w:jc w:val="center"/>
        <w:tblLook w:val="04A0" w:firstRow="1" w:lastRow="0" w:firstColumn="1" w:lastColumn="0" w:noHBand="0" w:noVBand="1"/>
      </w:tblPr>
      <w:tblGrid>
        <w:gridCol w:w="897"/>
        <w:gridCol w:w="2091"/>
        <w:gridCol w:w="3334"/>
        <w:gridCol w:w="2199"/>
      </w:tblGrid>
      <w:tr w:rsidR="00617FDF">
        <w:trPr>
          <w:tblHeader/>
          <w:jc w:val="center"/>
        </w:trPr>
        <w:tc>
          <w:tcPr>
            <w:tcW w:w="897" w:type="dxa"/>
            <w:vAlign w:val="center"/>
          </w:tcPr>
          <w:p w:rsidR="00617FDF" w:rsidRDefault="002F4DF3">
            <w:pPr>
              <w:pStyle w:val="a5"/>
              <w:spacing w:after="0" w:line="360" w:lineRule="exact"/>
              <w:ind w:rightChars="30" w:right="63"/>
              <w:jc w:val="center"/>
              <w:rPr>
                <w:rFonts w:ascii="仿宋" w:eastAsia="仿宋" w:hAnsi="仿宋" w:cs="仿宋_GB2312"/>
                <w:b/>
                <w:bCs/>
                <w:sz w:val="24"/>
              </w:rPr>
            </w:pPr>
            <w:bookmarkStart w:id="84" w:name="_Toc23389"/>
            <w:bookmarkStart w:id="85" w:name="_Toc18864"/>
            <w:bookmarkStart w:id="86" w:name="_Toc17384"/>
            <w:bookmarkStart w:id="87" w:name="_Toc5329"/>
            <w:bookmarkStart w:id="88" w:name="_Toc12724"/>
            <w:bookmarkStart w:id="89" w:name="_Toc5599"/>
            <w:bookmarkStart w:id="90" w:name="_Toc17220"/>
            <w:bookmarkStart w:id="91" w:name="_Toc32646"/>
            <w:bookmarkStart w:id="92" w:name="_Toc4177"/>
            <w:bookmarkStart w:id="93" w:name="_Toc19725"/>
            <w:bookmarkStart w:id="94" w:name="_Toc12436"/>
            <w:bookmarkStart w:id="95" w:name="_Toc24052"/>
            <w:bookmarkStart w:id="96" w:name="_Toc23122"/>
            <w:bookmarkStart w:id="97" w:name="_Toc7611"/>
            <w:r>
              <w:rPr>
                <w:rFonts w:ascii="仿宋" w:eastAsia="仿宋" w:hAnsi="仿宋" w:cs="仿宋_GB2312" w:hint="eastAsia"/>
                <w:b/>
                <w:bCs/>
                <w:sz w:val="24"/>
              </w:rPr>
              <w:t>序号</w:t>
            </w:r>
          </w:p>
        </w:tc>
        <w:tc>
          <w:tcPr>
            <w:tcW w:w="2091" w:type="dxa"/>
            <w:vAlign w:val="center"/>
          </w:tcPr>
          <w:p w:rsidR="00617FDF" w:rsidRDefault="002F4DF3">
            <w:pPr>
              <w:pStyle w:val="a5"/>
              <w:spacing w:after="0" w:line="360" w:lineRule="exact"/>
              <w:ind w:rightChars="30" w:right="63"/>
              <w:jc w:val="center"/>
              <w:rPr>
                <w:rFonts w:ascii="仿宋" w:eastAsia="仿宋" w:hAnsi="仿宋" w:cs="仿宋_GB2312"/>
                <w:b/>
                <w:bCs/>
                <w:sz w:val="24"/>
              </w:rPr>
            </w:pPr>
            <w:r>
              <w:rPr>
                <w:rFonts w:ascii="仿宋" w:eastAsia="仿宋" w:hAnsi="仿宋" w:cs="仿宋_GB2312" w:hint="eastAsia"/>
                <w:b/>
                <w:bCs/>
                <w:sz w:val="24"/>
              </w:rPr>
              <w:t>检验项目</w:t>
            </w:r>
          </w:p>
        </w:tc>
        <w:tc>
          <w:tcPr>
            <w:tcW w:w="3334" w:type="dxa"/>
            <w:vAlign w:val="center"/>
          </w:tcPr>
          <w:p w:rsidR="00617FDF" w:rsidRDefault="002F4DF3">
            <w:pPr>
              <w:pStyle w:val="a5"/>
              <w:spacing w:after="0" w:line="360" w:lineRule="exact"/>
              <w:ind w:rightChars="30" w:right="63"/>
              <w:jc w:val="center"/>
              <w:rPr>
                <w:rFonts w:ascii="仿宋" w:eastAsia="仿宋" w:hAnsi="仿宋" w:cs="仿宋_GB2312"/>
                <w:b/>
                <w:bCs/>
                <w:sz w:val="24"/>
              </w:rPr>
            </w:pPr>
            <w:r>
              <w:rPr>
                <w:rFonts w:ascii="仿宋" w:eastAsia="仿宋" w:hAnsi="仿宋" w:cs="仿宋_GB2312" w:hint="eastAsia"/>
                <w:b/>
                <w:bCs/>
                <w:sz w:val="24"/>
              </w:rPr>
              <w:t>主要控制指标</w:t>
            </w:r>
          </w:p>
        </w:tc>
        <w:tc>
          <w:tcPr>
            <w:tcW w:w="2199" w:type="dxa"/>
            <w:vAlign w:val="center"/>
          </w:tcPr>
          <w:p w:rsidR="00617FDF" w:rsidRDefault="002F4DF3">
            <w:pPr>
              <w:pStyle w:val="a5"/>
              <w:spacing w:after="0" w:line="360" w:lineRule="exact"/>
              <w:ind w:rightChars="30" w:right="63"/>
              <w:jc w:val="center"/>
              <w:rPr>
                <w:rFonts w:ascii="仿宋" w:eastAsia="仿宋" w:hAnsi="仿宋" w:cs="仿宋_GB2312"/>
                <w:b/>
                <w:bCs/>
                <w:sz w:val="24"/>
              </w:rPr>
            </w:pPr>
            <w:r>
              <w:rPr>
                <w:rFonts w:ascii="仿宋" w:eastAsia="仿宋" w:hAnsi="仿宋" w:cs="仿宋_GB2312" w:hint="eastAsia"/>
                <w:b/>
                <w:bCs/>
                <w:sz w:val="24"/>
              </w:rPr>
              <w:t>检验方法</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w:t>
            </w:r>
          </w:p>
        </w:tc>
        <w:tc>
          <w:tcPr>
            <w:tcW w:w="7624" w:type="dxa"/>
            <w:gridSpan w:val="3"/>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治疗床</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1.1</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可用床面</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w:t>
            </w:r>
            <w:r>
              <w:rPr>
                <w:rFonts w:ascii="仿宋" w:eastAsia="仿宋" w:hAnsi="仿宋" w:cs="Arial" w:hint="eastAsia"/>
                <w:sz w:val="24"/>
              </w:rPr>
              <w:t>13.2.2条款</w:t>
            </w:r>
            <w:r>
              <w:rPr>
                <w:rFonts w:ascii="仿宋" w:eastAsia="仿宋" w:hAnsi="仿宋" w:cs="Arial"/>
                <w:sz w:val="24"/>
              </w:rPr>
              <w:t>内容</w:t>
            </w:r>
          </w:p>
        </w:tc>
        <w:tc>
          <w:tcPr>
            <w:tcW w:w="2199" w:type="dxa"/>
            <w:vAlign w:val="center"/>
          </w:tcPr>
          <w:p w:rsidR="00617FDF" w:rsidRDefault="002F4DF3">
            <w:pPr>
              <w:spacing w:line="360" w:lineRule="exact"/>
              <w:rPr>
                <w:rFonts w:ascii="仿宋" w:eastAsia="仿宋" w:hAnsi="仿宋" w:cs="Arial"/>
                <w:kern w:val="0"/>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1.2</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床面表面纵向移动时的</w:t>
            </w:r>
            <w:r>
              <w:rPr>
                <w:rFonts w:ascii="仿宋" w:eastAsia="仿宋" w:hAnsi="仿宋" w:cs="Arial" w:hint="eastAsia"/>
                <w:sz w:val="24"/>
              </w:rPr>
              <w:t>位置偏差</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设备性能特性》标准13.2.4</w:t>
            </w:r>
            <w:r>
              <w:rPr>
                <w:rFonts w:ascii="仿宋" w:eastAsia="仿宋" w:hAnsi="仿宋" w:cs="Arial" w:hint="eastAsia"/>
                <w:sz w:val="24"/>
              </w:rPr>
              <w:t>条款</w:t>
            </w:r>
            <w:r>
              <w:rPr>
                <w:rFonts w:ascii="仿宋" w:eastAsia="仿宋" w:hAnsi="仿宋" w:cs="Arial"/>
                <w:sz w:val="24"/>
              </w:rPr>
              <w:t>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1.3</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床面表面</w:t>
            </w:r>
            <w:r>
              <w:rPr>
                <w:rFonts w:ascii="仿宋" w:eastAsia="仿宋" w:hAnsi="仿宋" w:cs="Arial" w:hint="eastAsia"/>
                <w:sz w:val="24"/>
              </w:rPr>
              <w:t>横</w:t>
            </w:r>
            <w:r>
              <w:rPr>
                <w:rFonts w:ascii="仿宋" w:eastAsia="仿宋" w:hAnsi="仿宋" w:cs="Arial"/>
                <w:sz w:val="24"/>
              </w:rPr>
              <w:t>向移动时的</w:t>
            </w:r>
            <w:r>
              <w:rPr>
                <w:rFonts w:ascii="仿宋" w:eastAsia="仿宋" w:hAnsi="仿宋" w:cs="Arial" w:hint="eastAsia"/>
                <w:sz w:val="24"/>
              </w:rPr>
              <w:t>位置偏</w:t>
            </w:r>
            <w:r>
              <w:rPr>
                <w:rFonts w:ascii="仿宋" w:eastAsia="仿宋" w:hAnsi="仿宋" w:cs="Arial"/>
                <w:sz w:val="24"/>
              </w:rPr>
              <w:t>差</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设备性能特性》标准条款13.2.5</w:t>
            </w:r>
            <w:r>
              <w:rPr>
                <w:rFonts w:ascii="仿宋" w:eastAsia="仿宋" w:hAnsi="仿宋" w:cs="Arial" w:hint="eastAsia"/>
                <w:sz w:val="24"/>
              </w:rPr>
              <w:t>条款</w:t>
            </w:r>
            <w:r>
              <w:rPr>
                <w:rFonts w:ascii="仿宋" w:eastAsia="仿宋" w:hAnsi="仿宋" w:cs="Arial"/>
                <w:sz w:val="24"/>
              </w:rPr>
              <w:t>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1.4</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患者支撑系统绕等中心的旋转</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设备性能特性》标准条款13.4.2</w:t>
            </w:r>
            <w:r>
              <w:rPr>
                <w:rFonts w:ascii="仿宋" w:eastAsia="仿宋" w:hAnsi="仿宋" w:cs="Arial" w:hint="eastAsia"/>
                <w:sz w:val="24"/>
              </w:rPr>
              <w:t>条款内容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trHeight w:val="1480"/>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1.5</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患者支撑系统平移准确性</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设备性能特性》标准条款13.4.3</w:t>
            </w:r>
            <w:r>
              <w:rPr>
                <w:rFonts w:ascii="仿宋" w:eastAsia="仿宋" w:hAnsi="仿宋" w:cs="Arial" w:hint="eastAsia"/>
                <w:sz w:val="24"/>
              </w:rPr>
              <w:t>条款内容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1.6</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患者支撑系统旋转准确性</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设备性能特性》标准条款13.4.4</w:t>
            </w:r>
            <w:r>
              <w:rPr>
                <w:rFonts w:ascii="仿宋" w:eastAsia="仿宋" w:hAnsi="仿宋" w:cs="Arial" w:hint="eastAsia"/>
                <w:sz w:val="24"/>
              </w:rPr>
              <w:t>条款内容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2</w:t>
            </w:r>
          </w:p>
        </w:tc>
        <w:tc>
          <w:tcPr>
            <w:tcW w:w="7624" w:type="dxa"/>
            <w:gridSpan w:val="3"/>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治疗椅</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2.1</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患者支撑系统绕等中心的旋转</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设备性能特性》标准条款13.4.2</w:t>
            </w:r>
            <w:r>
              <w:rPr>
                <w:rFonts w:ascii="仿宋" w:eastAsia="仿宋" w:hAnsi="仿宋" w:cs="Arial" w:hint="eastAsia"/>
                <w:sz w:val="24"/>
              </w:rPr>
              <w:t>条款内容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2.2</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患者支撑系统平移准确性</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设备性能特性》标准条款13.4.3</w:t>
            </w:r>
            <w:r>
              <w:rPr>
                <w:rFonts w:ascii="仿宋" w:eastAsia="仿宋" w:hAnsi="仿宋" w:cs="Arial" w:hint="eastAsia"/>
                <w:sz w:val="24"/>
              </w:rPr>
              <w:t>条款内容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r w:rsidR="00617FDF">
        <w:trPr>
          <w:jc w:val="center"/>
        </w:trPr>
        <w:tc>
          <w:tcPr>
            <w:tcW w:w="897"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2.3</w:t>
            </w:r>
          </w:p>
        </w:tc>
        <w:tc>
          <w:tcPr>
            <w:tcW w:w="2091"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患者支撑系统旋转准确性</w:t>
            </w:r>
          </w:p>
        </w:tc>
        <w:tc>
          <w:tcPr>
            <w:tcW w:w="3334"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Arial"/>
                <w:sz w:val="24"/>
              </w:rPr>
              <w:t>YY/T</w:t>
            </w:r>
            <w:r>
              <w:rPr>
                <w:rFonts w:ascii="仿宋" w:eastAsia="仿宋" w:hAnsi="仿宋" w:cs="Arial" w:hint="eastAsia"/>
                <w:sz w:val="24"/>
              </w:rPr>
              <w:t xml:space="preserve"> </w:t>
            </w:r>
            <w:r>
              <w:rPr>
                <w:rFonts w:ascii="仿宋" w:eastAsia="仿宋" w:hAnsi="仿宋" w:cs="Arial"/>
                <w:sz w:val="24"/>
              </w:rPr>
              <w:t>1763《医用电气设备</w:t>
            </w:r>
            <w:r>
              <w:rPr>
                <w:rFonts w:ascii="仿宋" w:eastAsia="仿宋" w:hAnsi="仿宋" w:cs="Arial" w:hint="eastAsia"/>
                <w:sz w:val="24"/>
              </w:rPr>
              <w:t xml:space="preserve"> </w:t>
            </w:r>
            <w:r>
              <w:rPr>
                <w:rFonts w:ascii="仿宋" w:eastAsia="仿宋" w:hAnsi="仿宋" w:cs="Arial"/>
                <w:sz w:val="24"/>
              </w:rPr>
              <w:t>医用轻离子</w:t>
            </w:r>
            <w:r>
              <w:rPr>
                <w:rFonts w:ascii="仿宋" w:eastAsia="仿宋" w:hAnsi="仿宋" w:cs="Arial" w:hint="eastAsia"/>
                <w:sz w:val="24"/>
              </w:rPr>
              <w:t>束</w:t>
            </w:r>
            <w:r>
              <w:rPr>
                <w:rFonts w:ascii="仿宋" w:eastAsia="仿宋" w:hAnsi="仿宋" w:cs="Arial"/>
                <w:sz w:val="24"/>
              </w:rPr>
              <w:t>设备性能特性》标准条款13.4.4</w:t>
            </w:r>
            <w:r>
              <w:rPr>
                <w:rFonts w:ascii="仿宋" w:eastAsia="仿宋" w:hAnsi="仿宋" w:cs="Arial" w:hint="eastAsia"/>
                <w:sz w:val="24"/>
              </w:rPr>
              <w:t>条款内容</w:t>
            </w:r>
          </w:p>
        </w:tc>
        <w:tc>
          <w:tcPr>
            <w:tcW w:w="2199" w:type="dxa"/>
            <w:vAlign w:val="center"/>
          </w:tcPr>
          <w:p w:rsidR="00617FDF" w:rsidRDefault="002F4DF3">
            <w:pPr>
              <w:pStyle w:val="a5"/>
              <w:spacing w:after="0" w:line="360" w:lineRule="exact"/>
              <w:ind w:rightChars="30" w:right="63"/>
              <w:rPr>
                <w:rFonts w:ascii="仿宋" w:eastAsia="仿宋" w:hAnsi="仿宋" w:cs="Arial"/>
                <w:sz w:val="24"/>
              </w:rPr>
            </w:pPr>
            <w:r>
              <w:rPr>
                <w:rFonts w:ascii="仿宋" w:eastAsia="仿宋" w:hAnsi="仿宋" w:cs="仿宋_GB2312" w:hint="eastAsia"/>
                <w:color w:val="000000"/>
                <w:sz w:val="24"/>
              </w:rPr>
              <w:t>按照标准要求检验</w:t>
            </w:r>
          </w:p>
        </w:tc>
      </w:tr>
    </w:tbl>
    <w:p w:rsidR="00617FDF" w:rsidRDefault="002F4DF3">
      <w:pPr>
        <w:spacing w:line="560" w:lineRule="exact"/>
        <w:outlineLvl w:val="1"/>
        <w:rPr>
          <w:rFonts w:ascii="黑体" w:eastAsia="黑体" w:hAnsi="黑体" w:cs="黑体"/>
          <w:sz w:val="32"/>
          <w:szCs w:val="32"/>
        </w:rPr>
      </w:pPr>
      <w:r>
        <w:rPr>
          <w:rFonts w:ascii="黑体" w:eastAsia="黑体" w:hAnsi="黑体" w:cs="黑体" w:hint="eastAsia"/>
          <w:sz w:val="32"/>
          <w:szCs w:val="32"/>
        </w:rPr>
        <w:t>三、生产工艺和质量关键控制点</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617FDF" w:rsidRDefault="002F4DF3">
      <w:pPr>
        <w:spacing w:line="360" w:lineRule="auto"/>
        <w:ind w:left="420"/>
        <w:outlineLvl w:val="2"/>
        <w:rPr>
          <w:rFonts w:ascii="楷体" w:eastAsia="楷体" w:hAnsi="楷体" w:cs="楷体"/>
          <w:sz w:val="32"/>
          <w:szCs w:val="32"/>
        </w:rPr>
      </w:pPr>
      <w:bookmarkStart w:id="98" w:name="_Toc11753"/>
      <w:bookmarkStart w:id="99" w:name="_Toc30444"/>
      <w:bookmarkStart w:id="100" w:name="_Toc22731"/>
      <w:bookmarkStart w:id="101" w:name="_Toc11946"/>
      <w:bookmarkStart w:id="102" w:name="_Toc12658"/>
      <w:bookmarkStart w:id="103" w:name="_Toc17334"/>
      <w:bookmarkStart w:id="104" w:name="_Toc31296"/>
      <w:bookmarkStart w:id="105" w:name="_Toc10460"/>
      <w:bookmarkStart w:id="106" w:name="_Toc30768"/>
      <w:bookmarkStart w:id="107" w:name="_Toc8981"/>
      <w:bookmarkStart w:id="108" w:name="_Toc28281"/>
      <w:bookmarkStart w:id="109" w:name="_Toc16271"/>
      <w:bookmarkStart w:id="110" w:name="_Toc32115"/>
      <w:bookmarkStart w:id="111" w:name="_Toc11929"/>
      <w:r>
        <w:rPr>
          <w:rFonts w:ascii="楷体" w:eastAsia="楷体" w:hAnsi="楷体" w:cs="楷体" w:hint="eastAsia"/>
          <w:sz w:val="32"/>
          <w:szCs w:val="32"/>
        </w:rPr>
        <w:lastRenderedPageBreak/>
        <w:t>（一）生产工艺流程图</w:t>
      </w:r>
    </w:p>
    <w:p w:rsidR="00617FDF" w:rsidRDefault="002F4DF3">
      <w:pPr>
        <w:spacing w:line="360" w:lineRule="auto"/>
        <w:jc w:val="center"/>
        <w:rPr>
          <w:rFonts w:ascii="楷体" w:eastAsia="楷体" w:hAnsi="楷体" w:cs="楷体"/>
          <w:sz w:val="32"/>
          <w:szCs w:val="32"/>
        </w:rPr>
      </w:pPr>
      <w:r>
        <w:rPr>
          <w:rFonts w:ascii="楷体" w:eastAsia="楷体" w:hAnsi="楷体" w:cs="楷体" w:hint="eastAsia"/>
          <w:noProof/>
          <w:sz w:val="32"/>
          <w:szCs w:val="32"/>
        </w:rPr>
        <w:drawing>
          <wp:inline distT="0" distB="0" distL="114300" distR="114300">
            <wp:extent cx="3900170" cy="6094095"/>
            <wp:effectExtent l="0" t="0" r="5080" b="1905"/>
            <wp:docPr id="4" name="图片 4" descr="17325202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2520240966"/>
                    <pic:cNvPicPr>
                      <a:picLocks noChangeAspect="1"/>
                    </pic:cNvPicPr>
                  </pic:nvPicPr>
                  <pic:blipFill>
                    <a:blip r:embed="rId7"/>
                    <a:srcRect t="965"/>
                    <a:stretch>
                      <a:fillRect/>
                    </a:stretch>
                  </pic:blipFill>
                  <pic:spPr>
                    <a:xfrm>
                      <a:off x="0" y="0"/>
                      <a:ext cx="3900170" cy="6094095"/>
                    </a:xfrm>
                    <a:prstGeom prst="rect">
                      <a:avLst/>
                    </a:prstGeom>
                  </pic:spPr>
                </pic:pic>
              </a:graphicData>
            </a:graphic>
          </wp:inline>
        </w:drawing>
      </w:r>
    </w:p>
    <w:p w:rsidR="00617FDF" w:rsidRDefault="002F4DF3">
      <w:pPr>
        <w:spacing w:line="360" w:lineRule="auto"/>
        <w:ind w:firstLineChars="131" w:firstLine="419"/>
        <w:jc w:val="center"/>
        <w:rPr>
          <w:rFonts w:ascii="仿宋" w:eastAsia="仿宋" w:hAnsi="仿宋" w:cs="楷体"/>
          <w:sz w:val="32"/>
          <w:szCs w:val="32"/>
        </w:rPr>
      </w:pPr>
      <w:r>
        <w:rPr>
          <w:rFonts w:ascii="仿宋" w:eastAsia="仿宋" w:hAnsi="仿宋" w:cs="楷体"/>
          <w:sz w:val="32"/>
          <w:szCs w:val="32"/>
        </w:rPr>
        <w:t>图</w:t>
      </w:r>
      <w:r w:rsidR="00CE0103">
        <w:rPr>
          <w:rFonts w:ascii="仿宋" w:eastAsia="仿宋" w:hAnsi="仿宋" w:cs="楷体" w:hint="eastAsia"/>
          <w:sz w:val="32"/>
          <w:szCs w:val="32"/>
        </w:rPr>
        <w:t xml:space="preserve">1 </w:t>
      </w:r>
      <w:r>
        <w:rPr>
          <w:rFonts w:ascii="仿宋" w:eastAsia="仿宋" w:hAnsi="仿宋" w:cs="楷体"/>
          <w:sz w:val="32"/>
          <w:szCs w:val="32"/>
        </w:rPr>
        <w:t>治疗床</w:t>
      </w:r>
      <w:r>
        <w:rPr>
          <w:rFonts w:ascii="仿宋" w:eastAsia="仿宋" w:hAnsi="仿宋" w:cs="楷体" w:hint="eastAsia"/>
          <w:sz w:val="32"/>
          <w:szCs w:val="32"/>
        </w:rPr>
        <w:t>生产工艺</w:t>
      </w:r>
      <w:r>
        <w:rPr>
          <w:rFonts w:ascii="仿宋" w:eastAsia="仿宋" w:hAnsi="仿宋" w:cs="楷体"/>
          <w:sz w:val="32"/>
          <w:szCs w:val="32"/>
        </w:rPr>
        <w:t>流程</w:t>
      </w:r>
    </w:p>
    <w:p w:rsidR="00617FDF" w:rsidRDefault="002F4DF3">
      <w:pPr>
        <w:spacing w:line="360" w:lineRule="auto"/>
        <w:ind w:firstLineChars="131" w:firstLine="419"/>
        <w:jc w:val="center"/>
        <w:rPr>
          <w:rFonts w:ascii="仿宋" w:eastAsia="仿宋" w:hAnsi="仿宋" w:cs="楷体"/>
          <w:sz w:val="32"/>
          <w:szCs w:val="32"/>
        </w:rPr>
      </w:pPr>
      <w:r>
        <w:rPr>
          <w:rFonts w:ascii="仿宋" w:eastAsia="仿宋" w:hAnsi="仿宋" w:cs="楷体" w:hint="eastAsia"/>
          <w:noProof/>
          <w:sz w:val="32"/>
          <w:szCs w:val="32"/>
        </w:rPr>
        <w:lastRenderedPageBreak/>
        <w:drawing>
          <wp:inline distT="0" distB="0" distL="114300" distR="114300">
            <wp:extent cx="3462655" cy="4558030"/>
            <wp:effectExtent l="0" t="0" r="4445" b="4445"/>
            <wp:docPr id="5" name="图片 5" descr="173252053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2520534785"/>
                    <pic:cNvPicPr>
                      <a:picLocks noChangeAspect="1"/>
                    </pic:cNvPicPr>
                  </pic:nvPicPr>
                  <pic:blipFill>
                    <a:blip r:embed="rId8"/>
                    <a:stretch>
                      <a:fillRect/>
                    </a:stretch>
                  </pic:blipFill>
                  <pic:spPr>
                    <a:xfrm>
                      <a:off x="0" y="0"/>
                      <a:ext cx="3462655" cy="4558030"/>
                    </a:xfrm>
                    <a:prstGeom prst="rect">
                      <a:avLst/>
                    </a:prstGeom>
                  </pic:spPr>
                </pic:pic>
              </a:graphicData>
            </a:graphic>
          </wp:inline>
        </w:drawing>
      </w:r>
    </w:p>
    <w:p w:rsidR="00617FDF" w:rsidRDefault="002F4DF3">
      <w:pPr>
        <w:spacing w:line="360" w:lineRule="auto"/>
        <w:ind w:firstLineChars="131" w:firstLine="419"/>
        <w:jc w:val="center"/>
        <w:rPr>
          <w:rFonts w:ascii="仿宋" w:eastAsia="仿宋" w:hAnsi="仿宋" w:cs="楷体"/>
          <w:sz w:val="32"/>
          <w:szCs w:val="32"/>
        </w:rPr>
      </w:pPr>
      <w:r>
        <w:rPr>
          <w:rFonts w:ascii="仿宋" w:eastAsia="仿宋" w:hAnsi="仿宋" w:cs="楷体"/>
          <w:sz w:val="32"/>
          <w:szCs w:val="32"/>
        </w:rPr>
        <w:t>图</w:t>
      </w:r>
      <w:r w:rsidR="00CE0103">
        <w:rPr>
          <w:rFonts w:ascii="仿宋" w:eastAsia="仿宋" w:hAnsi="仿宋" w:cs="楷体"/>
          <w:sz w:val="32"/>
          <w:szCs w:val="32"/>
        </w:rPr>
        <w:t xml:space="preserve">2 </w:t>
      </w:r>
      <w:r>
        <w:rPr>
          <w:rFonts w:ascii="仿宋" w:eastAsia="仿宋" w:hAnsi="仿宋" w:cs="楷体"/>
          <w:sz w:val="32"/>
          <w:szCs w:val="32"/>
        </w:rPr>
        <w:t>治疗</w:t>
      </w:r>
      <w:r>
        <w:rPr>
          <w:rFonts w:ascii="仿宋" w:eastAsia="仿宋" w:hAnsi="仿宋" w:cs="楷体" w:hint="eastAsia"/>
          <w:sz w:val="32"/>
          <w:szCs w:val="32"/>
        </w:rPr>
        <w:t>椅生产工艺</w:t>
      </w:r>
      <w:r>
        <w:rPr>
          <w:rFonts w:ascii="仿宋" w:eastAsia="仿宋" w:hAnsi="仿宋" w:cs="楷体"/>
          <w:sz w:val="32"/>
          <w:szCs w:val="32"/>
        </w:rPr>
        <w:t>流程</w:t>
      </w:r>
    </w:p>
    <w:p w:rsidR="00617FDF" w:rsidRDefault="002F4DF3">
      <w:pPr>
        <w:spacing w:line="360" w:lineRule="auto"/>
        <w:ind w:firstLineChars="131" w:firstLine="421"/>
        <w:jc w:val="left"/>
        <w:rPr>
          <w:rFonts w:ascii="仿宋" w:eastAsia="仿宋" w:hAnsi="仿宋" w:cs="楷体"/>
          <w:sz w:val="32"/>
          <w:szCs w:val="32"/>
        </w:rPr>
      </w:pPr>
      <w:r>
        <w:rPr>
          <w:rFonts w:ascii="楷体" w:eastAsia="楷体" w:hAnsi="楷体" w:cs="楷体" w:hint="eastAsia"/>
          <w:b/>
          <w:bCs/>
          <w:sz w:val="32"/>
          <w:szCs w:val="32"/>
          <w:lang w:bidi="ar"/>
        </w:rPr>
        <w:t>备注：</w:t>
      </w:r>
      <w:r>
        <w:rPr>
          <w:rFonts w:ascii="仿宋" w:eastAsia="仿宋" w:hAnsi="仿宋" w:cs="仿宋" w:hint="eastAsia"/>
          <w:sz w:val="32"/>
          <w:szCs w:val="32"/>
          <w:lang w:bidi="ar"/>
        </w:rPr>
        <w:t>虚线部分表示由供应商完成（企业自主生产除外）</w:t>
      </w:r>
    </w:p>
    <w:p w:rsidR="00617FDF" w:rsidRDefault="002F4DF3">
      <w:pPr>
        <w:spacing w:line="360" w:lineRule="auto"/>
        <w:ind w:left="420"/>
        <w:outlineLvl w:val="2"/>
        <w:rPr>
          <w:rFonts w:ascii="楷体" w:eastAsia="楷体" w:hAnsi="楷体" w:cs="楷体"/>
          <w:sz w:val="32"/>
          <w:szCs w:val="32"/>
        </w:rPr>
      </w:pPr>
      <w:r>
        <w:rPr>
          <w:rFonts w:ascii="楷体" w:eastAsia="楷体" w:hAnsi="楷体" w:cs="楷体" w:hint="eastAsia"/>
          <w:sz w:val="32"/>
          <w:szCs w:val="32"/>
        </w:rPr>
        <w:t>（二）生产环节风险点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617FDF" w:rsidRDefault="002F4DF3">
      <w:pPr>
        <w:spacing w:line="360" w:lineRule="auto"/>
        <w:ind w:firstLineChars="200" w:firstLine="640"/>
        <w:rPr>
          <w:rFonts w:ascii="仿宋" w:eastAsia="仿宋" w:hAnsi="仿宋" w:cs="Arial"/>
          <w:color w:val="000000"/>
          <w:kern w:val="0"/>
          <w:sz w:val="32"/>
          <w:szCs w:val="28"/>
        </w:rPr>
      </w:pPr>
      <w:r>
        <w:rPr>
          <w:rFonts w:ascii="仿宋" w:eastAsia="仿宋" w:hAnsi="仿宋" w:cs="Arial" w:hint="eastAsia"/>
          <w:color w:val="000000"/>
          <w:sz w:val="32"/>
          <w:szCs w:val="28"/>
        </w:rPr>
        <w:t>患者支撑系统生产环节风险点主要包括系统调试（治疗床运动精度）、治疗床或治疗椅本体安装、性能</w:t>
      </w:r>
      <w:r>
        <w:rPr>
          <w:rFonts w:ascii="仿宋" w:eastAsia="仿宋" w:hAnsi="仿宋" w:cs="Arial" w:hint="eastAsia"/>
          <w:color w:val="000000"/>
          <w:kern w:val="0"/>
          <w:sz w:val="32"/>
          <w:szCs w:val="28"/>
        </w:rPr>
        <w:t>调试等。</w:t>
      </w:r>
    </w:p>
    <w:p w:rsidR="00617FDF" w:rsidRDefault="002F4DF3">
      <w:pPr>
        <w:spacing w:line="360" w:lineRule="auto"/>
        <w:ind w:firstLineChars="131" w:firstLine="419"/>
        <w:outlineLvl w:val="2"/>
        <w:rPr>
          <w:rFonts w:ascii="楷体" w:eastAsia="楷体" w:hAnsi="楷体" w:cs="楷体"/>
          <w:sz w:val="32"/>
          <w:szCs w:val="32"/>
        </w:rPr>
      </w:pPr>
      <w:bookmarkStart w:id="112" w:name="_Toc1001"/>
      <w:bookmarkStart w:id="113" w:name="_Toc24340"/>
      <w:bookmarkStart w:id="114" w:name="_Toc24534"/>
      <w:bookmarkStart w:id="115" w:name="_Toc28582"/>
      <w:bookmarkStart w:id="116" w:name="_Toc31738"/>
      <w:bookmarkStart w:id="117" w:name="_Toc5134"/>
      <w:bookmarkStart w:id="118" w:name="_Toc25490"/>
      <w:bookmarkStart w:id="119" w:name="_Toc7869"/>
      <w:bookmarkStart w:id="120" w:name="_Toc8818"/>
      <w:bookmarkStart w:id="121" w:name="_Toc22924"/>
      <w:bookmarkStart w:id="122" w:name="_Toc21994"/>
      <w:bookmarkStart w:id="123" w:name="_Toc22874"/>
      <w:bookmarkStart w:id="124" w:name="_Toc9252"/>
      <w:bookmarkStart w:id="125" w:name="_Toc30263"/>
      <w:r>
        <w:rPr>
          <w:rFonts w:ascii="楷体" w:eastAsia="楷体" w:hAnsi="楷体" w:cs="楷体" w:hint="eastAsia"/>
          <w:sz w:val="32"/>
          <w:szCs w:val="32"/>
        </w:rPr>
        <w:t>（三）生产质量管理关键控制</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楷体" w:eastAsia="楷体" w:hAnsi="楷体" w:cs="楷体" w:hint="eastAsia"/>
          <w:sz w:val="32"/>
          <w:szCs w:val="32"/>
        </w:rPr>
        <w:t>措施</w:t>
      </w:r>
    </w:p>
    <w:tbl>
      <w:tblPr>
        <w:tblStyle w:val="a6"/>
        <w:tblW w:w="8638" w:type="dxa"/>
        <w:jc w:val="center"/>
        <w:tblLook w:val="04A0" w:firstRow="1" w:lastRow="0" w:firstColumn="1" w:lastColumn="0" w:noHBand="0" w:noVBand="1"/>
      </w:tblPr>
      <w:tblGrid>
        <w:gridCol w:w="873"/>
        <w:gridCol w:w="1396"/>
        <w:gridCol w:w="6369"/>
      </w:tblGrid>
      <w:tr w:rsidR="00617FDF">
        <w:trPr>
          <w:trHeight w:val="560"/>
          <w:jc w:val="center"/>
        </w:trPr>
        <w:tc>
          <w:tcPr>
            <w:tcW w:w="873" w:type="dxa"/>
            <w:vAlign w:val="center"/>
          </w:tcPr>
          <w:p w:rsidR="00617FDF" w:rsidRDefault="002F4DF3">
            <w:pPr>
              <w:pStyle w:val="a5"/>
              <w:spacing w:after="0" w:line="360" w:lineRule="auto"/>
              <w:jc w:val="center"/>
              <w:rPr>
                <w:rFonts w:ascii="仿宋" w:eastAsia="仿宋" w:hAnsi="仿宋" w:cs="仿宋_GB2312"/>
                <w:b/>
                <w:bCs/>
                <w:sz w:val="24"/>
              </w:rPr>
            </w:pPr>
            <w:bookmarkStart w:id="126" w:name="_Toc1963"/>
            <w:bookmarkStart w:id="127" w:name="_Toc1918"/>
            <w:bookmarkStart w:id="128" w:name="_Toc20288"/>
            <w:bookmarkStart w:id="129" w:name="_Toc7770"/>
            <w:bookmarkStart w:id="130" w:name="_Toc31312"/>
            <w:bookmarkStart w:id="131" w:name="_Toc7985"/>
            <w:bookmarkStart w:id="132" w:name="_Toc8317"/>
            <w:bookmarkStart w:id="133" w:name="_Toc23159"/>
            <w:bookmarkStart w:id="134" w:name="_Toc8889"/>
            <w:bookmarkStart w:id="135" w:name="_Toc12652"/>
            <w:bookmarkStart w:id="136" w:name="_Toc1848"/>
            <w:bookmarkStart w:id="137" w:name="_Toc11236"/>
            <w:bookmarkStart w:id="138" w:name="_Toc25554"/>
            <w:bookmarkStart w:id="139" w:name="_Toc20822"/>
            <w:r>
              <w:rPr>
                <w:rFonts w:ascii="仿宋" w:eastAsia="仿宋" w:hAnsi="仿宋" w:cs="仿宋_GB2312" w:hint="eastAsia"/>
                <w:b/>
                <w:bCs/>
                <w:sz w:val="24"/>
              </w:rPr>
              <w:t>序号</w:t>
            </w:r>
          </w:p>
        </w:tc>
        <w:tc>
          <w:tcPr>
            <w:tcW w:w="1396" w:type="dxa"/>
            <w:vAlign w:val="center"/>
          </w:tcPr>
          <w:p w:rsidR="00617FDF" w:rsidRDefault="002F4DF3">
            <w:pPr>
              <w:pStyle w:val="a5"/>
              <w:spacing w:after="0" w:line="360" w:lineRule="auto"/>
              <w:jc w:val="center"/>
              <w:rPr>
                <w:rFonts w:ascii="仿宋" w:eastAsia="仿宋" w:hAnsi="仿宋" w:cs="仿宋_GB2312"/>
                <w:b/>
                <w:bCs/>
                <w:sz w:val="24"/>
              </w:rPr>
            </w:pPr>
            <w:r>
              <w:rPr>
                <w:rFonts w:ascii="仿宋" w:eastAsia="仿宋" w:hAnsi="仿宋" w:cs="仿宋_GB2312" w:hint="eastAsia"/>
                <w:b/>
                <w:bCs/>
                <w:sz w:val="24"/>
              </w:rPr>
              <w:t>风险点</w:t>
            </w:r>
          </w:p>
        </w:tc>
        <w:tc>
          <w:tcPr>
            <w:tcW w:w="6369" w:type="dxa"/>
            <w:vAlign w:val="center"/>
          </w:tcPr>
          <w:p w:rsidR="00617FDF" w:rsidRDefault="002F4DF3">
            <w:pPr>
              <w:pStyle w:val="a5"/>
              <w:spacing w:after="0" w:line="360" w:lineRule="auto"/>
              <w:jc w:val="center"/>
              <w:rPr>
                <w:rFonts w:ascii="仿宋" w:eastAsia="仿宋" w:hAnsi="仿宋" w:cs="仿宋_GB2312"/>
                <w:b/>
                <w:bCs/>
                <w:sz w:val="24"/>
              </w:rPr>
            </w:pPr>
            <w:r>
              <w:rPr>
                <w:rFonts w:ascii="仿宋" w:eastAsia="仿宋" w:hAnsi="仿宋" w:cs="仿宋_GB2312" w:hint="eastAsia"/>
                <w:b/>
                <w:bCs/>
                <w:sz w:val="24"/>
              </w:rPr>
              <w:t>控制措施</w:t>
            </w:r>
          </w:p>
        </w:tc>
      </w:tr>
      <w:tr w:rsidR="00617FDF">
        <w:trPr>
          <w:trHeight w:val="1357"/>
          <w:jc w:val="center"/>
        </w:trPr>
        <w:tc>
          <w:tcPr>
            <w:tcW w:w="873" w:type="dxa"/>
            <w:vAlign w:val="center"/>
          </w:tcPr>
          <w:p w:rsidR="00617FDF" w:rsidRDefault="002F4DF3">
            <w:pPr>
              <w:pStyle w:val="a5"/>
              <w:spacing w:after="0" w:line="360" w:lineRule="auto"/>
              <w:jc w:val="center"/>
              <w:rPr>
                <w:rFonts w:ascii="仿宋" w:eastAsia="仿宋" w:hAnsi="仿宋" w:cs="仿宋_GB2312"/>
                <w:sz w:val="24"/>
              </w:rPr>
            </w:pPr>
            <w:r>
              <w:rPr>
                <w:rFonts w:ascii="仿宋" w:eastAsia="仿宋" w:hAnsi="仿宋" w:cs="仿宋_GB2312" w:hint="eastAsia"/>
                <w:sz w:val="24"/>
              </w:rPr>
              <w:t>1</w:t>
            </w:r>
          </w:p>
        </w:tc>
        <w:tc>
          <w:tcPr>
            <w:tcW w:w="1396" w:type="dxa"/>
            <w:vAlign w:val="center"/>
          </w:tcPr>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生产管理</w:t>
            </w:r>
          </w:p>
        </w:tc>
        <w:tc>
          <w:tcPr>
            <w:tcW w:w="6369" w:type="dxa"/>
            <w:vAlign w:val="center"/>
          </w:tcPr>
          <w:p w:rsidR="00617FDF" w:rsidRDefault="002F4DF3">
            <w:pPr>
              <w:spacing w:line="360" w:lineRule="auto"/>
              <w:rPr>
                <w:rFonts w:ascii="仿宋" w:eastAsia="仿宋" w:hAnsi="仿宋" w:cs="仿宋"/>
                <w:sz w:val="24"/>
              </w:rPr>
            </w:pPr>
            <w:r>
              <w:rPr>
                <w:rFonts w:ascii="仿宋" w:eastAsia="仿宋" w:hAnsi="仿宋" w:cs="仿宋" w:hint="eastAsia"/>
                <w:sz w:val="24"/>
              </w:rPr>
              <w:t>①企业应制定生产相关作业文件；</w:t>
            </w:r>
          </w:p>
          <w:p w:rsidR="00617FDF" w:rsidRDefault="002F4DF3">
            <w:pPr>
              <w:spacing w:line="360" w:lineRule="auto"/>
              <w:rPr>
                <w:rFonts w:ascii="仿宋" w:eastAsia="仿宋" w:hAnsi="仿宋" w:cs="仿宋"/>
                <w:sz w:val="24"/>
              </w:rPr>
            </w:pPr>
            <w:r>
              <w:rPr>
                <w:rFonts w:ascii="仿宋" w:eastAsia="仿宋" w:hAnsi="仿宋" w:cs="仿宋" w:hint="eastAsia"/>
                <w:sz w:val="24"/>
              </w:rPr>
              <w:t>②企业应对识别的关键工序和特殊过程进行验证或确认；</w:t>
            </w:r>
          </w:p>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③企业应按照制定的作业文件对患者支撑系统进行生产、安装、调试。</w:t>
            </w:r>
          </w:p>
        </w:tc>
      </w:tr>
      <w:tr w:rsidR="00617FDF">
        <w:trPr>
          <w:trHeight w:val="780"/>
          <w:jc w:val="center"/>
        </w:trPr>
        <w:tc>
          <w:tcPr>
            <w:tcW w:w="873" w:type="dxa"/>
            <w:vMerge w:val="restart"/>
            <w:vAlign w:val="center"/>
          </w:tcPr>
          <w:p w:rsidR="00617FDF" w:rsidRDefault="002F4DF3">
            <w:pPr>
              <w:pStyle w:val="a5"/>
              <w:spacing w:after="0" w:line="360" w:lineRule="auto"/>
              <w:jc w:val="center"/>
              <w:rPr>
                <w:rFonts w:ascii="仿宋" w:eastAsia="仿宋" w:hAnsi="仿宋" w:cs="仿宋_GB2312"/>
                <w:sz w:val="24"/>
              </w:rPr>
            </w:pPr>
            <w:r>
              <w:rPr>
                <w:rFonts w:ascii="仿宋" w:eastAsia="仿宋" w:hAnsi="仿宋" w:cs="仿宋_GB2312" w:hint="eastAsia"/>
                <w:sz w:val="24"/>
              </w:rPr>
              <w:lastRenderedPageBreak/>
              <w:t>2</w:t>
            </w:r>
          </w:p>
        </w:tc>
        <w:tc>
          <w:tcPr>
            <w:tcW w:w="1396" w:type="dxa"/>
            <w:vMerge w:val="restart"/>
            <w:vAlign w:val="center"/>
          </w:tcPr>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生产安装</w:t>
            </w:r>
          </w:p>
        </w:tc>
        <w:tc>
          <w:tcPr>
            <w:tcW w:w="6369" w:type="dxa"/>
            <w:vAlign w:val="center"/>
          </w:tcPr>
          <w:p w:rsidR="00617FDF" w:rsidRDefault="002F4DF3">
            <w:pPr>
              <w:spacing w:line="360" w:lineRule="auto"/>
              <w:rPr>
                <w:rFonts w:ascii="仿宋" w:eastAsia="仿宋" w:hAnsi="仿宋" w:cs="仿宋"/>
                <w:b/>
                <w:bCs/>
                <w:sz w:val="24"/>
              </w:rPr>
            </w:pPr>
            <w:r>
              <w:rPr>
                <w:rFonts w:ascii="仿宋" w:eastAsia="仿宋" w:hAnsi="仿宋" w:cs="仿宋" w:hint="eastAsia"/>
                <w:b/>
                <w:bCs/>
                <w:sz w:val="24"/>
              </w:rPr>
              <w:t>系统调试（治疗床运动精度）</w:t>
            </w:r>
          </w:p>
          <w:p w:rsidR="00617FDF" w:rsidRDefault="002F4DF3">
            <w:pPr>
              <w:spacing w:line="360" w:lineRule="auto"/>
              <w:rPr>
                <w:rFonts w:ascii="仿宋" w:eastAsia="仿宋" w:hAnsi="仿宋" w:cs="仿宋"/>
                <w:sz w:val="24"/>
              </w:rPr>
            </w:pPr>
            <w:r>
              <w:rPr>
                <w:rFonts w:ascii="仿宋" w:eastAsia="仿宋" w:hAnsi="仿宋" w:cs="仿宋" w:hint="eastAsia"/>
                <w:sz w:val="24"/>
              </w:rPr>
              <w:t>各转动轴加工精度应满足要求，各转动轴装配误差应满足要求，电机与外接编码器平行度应满足要求。</w:t>
            </w:r>
          </w:p>
          <w:p w:rsidR="00617FDF" w:rsidRDefault="002F4DF3">
            <w:pPr>
              <w:spacing w:line="360" w:lineRule="auto"/>
              <w:rPr>
                <w:rFonts w:ascii="仿宋" w:eastAsia="仿宋" w:hAnsi="仿宋" w:cs="仿宋"/>
                <w:sz w:val="24"/>
              </w:rPr>
            </w:pPr>
            <w:r>
              <w:rPr>
                <w:rFonts w:ascii="仿宋" w:eastAsia="仿宋" w:hAnsi="仿宋" w:cs="仿宋" w:hint="eastAsia"/>
                <w:sz w:val="24"/>
              </w:rPr>
              <w:t>如果关键零部件（如转动轴）加工精度或各转轴之间的装配精度达不到要求，各转轴累计误差放大，会导致各连接轴的参数与理论值存在差异，进而影响治疗床运动精度；</w:t>
            </w:r>
          </w:p>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如果电机与外接编码器平行度不满足要求，治疗床运动控制精度不达标。</w:t>
            </w:r>
          </w:p>
        </w:tc>
      </w:tr>
      <w:tr w:rsidR="00617FDF">
        <w:trPr>
          <w:trHeight w:val="833"/>
          <w:jc w:val="center"/>
        </w:trPr>
        <w:tc>
          <w:tcPr>
            <w:tcW w:w="873" w:type="dxa"/>
            <w:vMerge/>
            <w:vAlign w:val="center"/>
          </w:tcPr>
          <w:p w:rsidR="00617FDF" w:rsidRDefault="00617FDF">
            <w:pPr>
              <w:pStyle w:val="a5"/>
              <w:spacing w:after="0" w:line="360" w:lineRule="auto"/>
              <w:jc w:val="center"/>
              <w:rPr>
                <w:rFonts w:ascii="仿宋" w:eastAsia="仿宋" w:hAnsi="仿宋" w:cs="仿宋_GB2312"/>
                <w:sz w:val="24"/>
              </w:rPr>
            </w:pPr>
          </w:p>
        </w:tc>
        <w:tc>
          <w:tcPr>
            <w:tcW w:w="1396" w:type="dxa"/>
            <w:vMerge/>
            <w:vAlign w:val="center"/>
          </w:tcPr>
          <w:p w:rsidR="00617FDF" w:rsidRDefault="00617FDF">
            <w:pPr>
              <w:pStyle w:val="a5"/>
              <w:spacing w:after="0" w:line="360" w:lineRule="auto"/>
              <w:rPr>
                <w:rFonts w:ascii="仿宋" w:eastAsia="仿宋" w:hAnsi="仿宋" w:cs="仿宋"/>
                <w:sz w:val="24"/>
              </w:rPr>
            </w:pPr>
          </w:p>
        </w:tc>
        <w:tc>
          <w:tcPr>
            <w:tcW w:w="6369" w:type="dxa"/>
            <w:vAlign w:val="center"/>
          </w:tcPr>
          <w:p w:rsidR="00617FDF" w:rsidRDefault="002F4DF3">
            <w:pPr>
              <w:pStyle w:val="a5"/>
              <w:spacing w:after="0" w:line="360" w:lineRule="auto"/>
              <w:rPr>
                <w:rFonts w:ascii="仿宋" w:eastAsia="仿宋" w:hAnsi="仿宋" w:cs="仿宋"/>
                <w:b/>
                <w:bCs/>
                <w:sz w:val="24"/>
              </w:rPr>
            </w:pPr>
            <w:r>
              <w:rPr>
                <w:rFonts w:ascii="仿宋" w:eastAsia="仿宋" w:hAnsi="仿宋" w:cs="仿宋" w:hint="eastAsia"/>
                <w:b/>
                <w:bCs/>
                <w:sz w:val="24"/>
              </w:rPr>
              <w:t>治疗床或治疗椅本体安装</w:t>
            </w:r>
          </w:p>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治疗床：本体底座X、Y、Z方向安装偏差尺寸。</w:t>
            </w:r>
          </w:p>
          <w:p w:rsidR="00617FDF" w:rsidRDefault="002F4DF3">
            <w:pPr>
              <w:pStyle w:val="a5"/>
              <w:spacing w:after="0"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当治疗床安装不到位（比如安装平面倾斜），会导致治疗床旋转时与空间平面产生非预期倾角。</w:t>
            </w:r>
          </w:p>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治疗椅：底板调节水平的安装尺寸。</w:t>
            </w:r>
          </w:p>
          <w:p w:rsidR="00617FDF" w:rsidRDefault="002F4DF3">
            <w:pPr>
              <w:pStyle w:val="a5"/>
              <w:spacing w:after="0" w:line="360" w:lineRule="auto"/>
              <w:rPr>
                <w:rFonts w:ascii="仿宋" w:eastAsia="仿宋" w:hAnsi="仿宋" w:cs="仿宋"/>
                <w:sz w:val="24"/>
              </w:rPr>
            </w:pPr>
            <w:r>
              <w:rPr>
                <w:rFonts w:ascii="仿宋" w:eastAsia="仿宋" w:hAnsi="仿宋" w:cs="仿宋" w:hint="eastAsia"/>
                <w:color w:val="000000" w:themeColor="text1"/>
                <w:sz w:val="24"/>
              </w:rPr>
              <w:t>当治疗椅安装不到位（比如安装导轨与束流方向产生偏差），会导致束流不能垂直进入患者治疗部位，需重复定位。</w:t>
            </w:r>
          </w:p>
        </w:tc>
      </w:tr>
      <w:tr w:rsidR="00617FDF">
        <w:trPr>
          <w:trHeight w:val="336"/>
          <w:jc w:val="center"/>
        </w:trPr>
        <w:tc>
          <w:tcPr>
            <w:tcW w:w="873" w:type="dxa"/>
            <w:vAlign w:val="center"/>
          </w:tcPr>
          <w:p w:rsidR="00617FDF" w:rsidRDefault="002F4DF3">
            <w:pPr>
              <w:pStyle w:val="a5"/>
              <w:spacing w:after="0" w:line="360" w:lineRule="auto"/>
              <w:jc w:val="center"/>
              <w:rPr>
                <w:rFonts w:ascii="仿宋" w:eastAsia="仿宋" w:hAnsi="仿宋" w:cs="仿宋_GB2312"/>
                <w:sz w:val="24"/>
              </w:rPr>
            </w:pPr>
            <w:r>
              <w:rPr>
                <w:rFonts w:ascii="仿宋" w:eastAsia="仿宋" w:hAnsi="仿宋" w:cs="仿宋_GB2312"/>
                <w:sz w:val="24"/>
              </w:rPr>
              <w:t>3</w:t>
            </w:r>
          </w:p>
        </w:tc>
        <w:tc>
          <w:tcPr>
            <w:tcW w:w="1396" w:type="dxa"/>
            <w:vAlign w:val="center"/>
          </w:tcPr>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调试</w:t>
            </w:r>
          </w:p>
        </w:tc>
        <w:tc>
          <w:tcPr>
            <w:tcW w:w="6369" w:type="dxa"/>
            <w:vAlign w:val="center"/>
          </w:tcPr>
          <w:p w:rsidR="00617FDF" w:rsidRDefault="002F4DF3">
            <w:pPr>
              <w:pStyle w:val="a5"/>
              <w:spacing w:after="0" w:line="360" w:lineRule="auto"/>
              <w:rPr>
                <w:rFonts w:ascii="仿宋" w:eastAsia="仿宋" w:hAnsi="仿宋" w:cs="仿宋"/>
                <w:b/>
                <w:bCs/>
                <w:sz w:val="24"/>
              </w:rPr>
            </w:pPr>
            <w:r>
              <w:rPr>
                <w:rFonts w:ascii="仿宋" w:eastAsia="仿宋" w:hAnsi="仿宋" w:cs="仿宋" w:hint="eastAsia"/>
                <w:b/>
                <w:bCs/>
                <w:sz w:val="24"/>
              </w:rPr>
              <w:t>性能调试</w:t>
            </w:r>
          </w:p>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治疗床：重力补偿标定下运动精度；偏距补偿运动精度；跟床板大范围平动精度；床板平移范围内平动精度；床板转动精度检验。</w:t>
            </w:r>
          </w:p>
          <w:p w:rsidR="00617FDF" w:rsidRDefault="002F4DF3">
            <w:pPr>
              <w:pStyle w:val="a5"/>
              <w:spacing w:after="0" w:line="360" w:lineRule="auto"/>
              <w:rPr>
                <w:rFonts w:ascii="仿宋" w:eastAsia="仿宋" w:hAnsi="仿宋" w:cs="仿宋"/>
                <w:color w:val="000000" w:themeColor="text1"/>
                <w:sz w:val="24"/>
              </w:rPr>
            </w:pPr>
            <w:r>
              <w:rPr>
                <w:rFonts w:ascii="仿宋" w:eastAsia="仿宋" w:hAnsi="仿宋" w:cs="仿宋" w:hint="eastAsia"/>
                <w:color w:val="000000" w:themeColor="text1"/>
                <w:sz w:val="24"/>
              </w:rPr>
              <w:t>当治疗床产品性能（比如重力补偿标定下运动精度不达标）无法保证时，会导致整体治疗床精度不达标，需重复定位。</w:t>
            </w:r>
          </w:p>
          <w:p w:rsidR="00617FDF" w:rsidRDefault="002F4DF3">
            <w:pPr>
              <w:pStyle w:val="a5"/>
              <w:spacing w:after="0" w:line="360" w:lineRule="auto"/>
              <w:rPr>
                <w:rFonts w:ascii="仿宋" w:hAnsi="仿宋" w:cs="仿宋"/>
                <w:sz w:val="24"/>
              </w:rPr>
            </w:pPr>
            <w:r>
              <w:rPr>
                <w:rFonts w:ascii="仿宋" w:eastAsia="仿宋" w:hAnsi="仿宋" w:cs="仿宋" w:hint="eastAsia"/>
                <w:sz w:val="24"/>
              </w:rPr>
              <w:t>治疗椅：绕等中心的旋转、平移准确性和旋转准确性</w:t>
            </w:r>
            <w:r>
              <w:rPr>
                <w:rFonts w:hint="eastAsia"/>
              </w:rPr>
              <w:t>。</w:t>
            </w:r>
          </w:p>
          <w:p w:rsidR="00617FDF" w:rsidRDefault="002F4DF3">
            <w:pPr>
              <w:pStyle w:val="a5"/>
              <w:spacing w:after="0" w:line="360" w:lineRule="auto"/>
              <w:rPr>
                <w:rFonts w:ascii="仿宋" w:eastAsia="仿宋" w:hAnsi="仿宋" w:cs="仿宋"/>
                <w:sz w:val="24"/>
              </w:rPr>
            </w:pPr>
            <w:r>
              <w:rPr>
                <w:rFonts w:ascii="仿宋" w:eastAsia="仿宋" w:hAnsi="仿宋" w:cs="仿宋" w:hint="eastAsia"/>
                <w:color w:val="000000" w:themeColor="text1"/>
                <w:sz w:val="24"/>
              </w:rPr>
              <w:t>当治疗椅产品性能（比如绕等中心的旋转不达标）无法保证时，会导致整体治疗椅精度不达标，会导致束流不能垂直进入患者治疗部位，需重复定位。</w:t>
            </w:r>
          </w:p>
        </w:tc>
      </w:tr>
      <w:tr w:rsidR="00617FDF">
        <w:trPr>
          <w:trHeight w:val="488"/>
          <w:jc w:val="center"/>
        </w:trPr>
        <w:tc>
          <w:tcPr>
            <w:tcW w:w="873" w:type="dxa"/>
            <w:vAlign w:val="center"/>
          </w:tcPr>
          <w:p w:rsidR="00617FDF" w:rsidRDefault="002F4DF3">
            <w:pPr>
              <w:pStyle w:val="a5"/>
              <w:spacing w:after="0" w:line="360" w:lineRule="auto"/>
              <w:jc w:val="center"/>
              <w:rPr>
                <w:rFonts w:ascii="仿宋" w:eastAsia="仿宋" w:hAnsi="仿宋" w:cs="仿宋_GB2312"/>
                <w:sz w:val="24"/>
              </w:rPr>
            </w:pPr>
            <w:r>
              <w:rPr>
                <w:rFonts w:ascii="仿宋" w:eastAsia="仿宋" w:hAnsi="仿宋" w:cs="仿宋_GB2312" w:hint="eastAsia"/>
                <w:sz w:val="24"/>
              </w:rPr>
              <w:t>4</w:t>
            </w:r>
          </w:p>
        </w:tc>
        <w:tc>
          <w:tcPr>
            <w:tcW w:w="1396" w:type="dxa"/>
            <w:vAlign w:val="center"/>
          </w:tcPr>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质量控制</w:t>
            </w:r>
          </w:p>
        </w:tc>
        <w:tc>
          <w:tcPr>
            <w:tcW w:w="6369" w:type="dxa"/>
            <w:vAlign w:val="center"/>
          </w:tcPr>
          <w:p w:rsidR="00617FDF" w:rsidRDefault="002F4DF3">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①企业应建立检验放行控制程序、不合格品控制程序、监视测量设备管理等程序文件；</w:t>
            </w:r>
          </w:p>
          <w:p w:rsidR="00617FDF" w:rsidRDefault="002F4DF3">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②企业应根据来料的特性，对不同部件、设备、系统所需来料质量进行分类控制；</w:t>
            </w:r>
          </w:p>
          <w:p w:rsidR="00617FDF" w:rsidRDefault="002F4DF3">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lastRenderedPageBreak/>
              <w:t>③企业应形成性能检验规程等相关检验作业文件；</w:t>
            </w:r>
          </w:p>
          <w:p w:rsidR="00617FDF" w:rsidRDefault="002F4DF3">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④企业进行常规控制的来料检验、过程检验，原则上不得进行委托检验。对于检验条件和设备要求较高，可委托具有资质的机构进行检验，以证明产品符合强制性标准和经注册或者备案的产品技术要求；</w:t>
            </w:r>
          </w:p>
          <w:p w:rsidR="00617FDF" w:rsidRDefault="002F4DF3">
            <w:pPr>
              <w:autoSpaceDE w:val="0"/>
              <w:autoSpaceDN w:val="0"/>
              <w:spacing w:line="360" w:lineRule="auto"/>
              <w:rPr>
                <w:rFonts w:ascii="仿宋" w:eastAsia="仿宋" w:hAnsi="仿宋" w:cs="仿宋"/>
                <w:sz w:val="24"/>
              </w:rPr>
            </w:pPr>
            <w:r>
              <w:rPr>
                <w:rFonts w:ascii="仿宋" w:eastAsia="仿宋" w:hAnsi="仿宋" w:cs="仿宋" w:hint="eastAsia"/>
                <w:sz w:val="24"/>
              </w:rPr>
              <w:t>⑤企业在安装调试检验中不同部件、设备、系统之间安装和调试应满足企业的规定。</w:t>
            </w:r>
          </w:p>
        </w:tc>
      </w:tr>
      <w:tr w:rsidR="00617FDF">
        <w:trPr>
          <w:trHeight w:val="488"/>
          <w:jc w:val="center"/>
        </w:trPr>
        <w:tc>
          <w:tcPr>
            <w:tcW w:w="873" w:type="dxa"/>
            <w:vAlign w:val="center"/>
          </w:tcPr>
          <w:p w:rsidR="00617FDF" w:rsidRDefault="002F4DF3">
            <w:pPr>
              <w:pStyle w:val="a5"/>
              <w:spacing w:after="0" w:line="360" w:lineRule="auto"/>
              <w:jc w:val="center"/>
              <w:rPr>
                <w:rFonts w:ascii="仿宋" w:eastAsia="仿宋" w:hAnsi="仿宋" w:cs="仿宋_GB2312"/>
                <w:sz w:val="24"/>
              </w:rPr>
            </w:pPr>
            <w:r>
              <w:rPr>
                <w:rFonts w:ascii="仿宋" w:eastAsia="仿宋" w:hAnsi="仿宋" w:cs="仿宋_GB2312" w:hint="eastAsia"/>
                <w:sz w:val="24"/>
              </w:rPr>
              <w:lastRenderedPageBreak/>
              <w:t>5</w:t>
            </w:r>
          </w:p>
        </w:tc>
        <w:tc>
          <w:tcPr>
            <w:tcW w:w="1396" w:type="dxa"/>
            <w:vAlign w:val="center"/>
          </w:tcPr>
          <w:p w:rsidR="00617FDF" w:rsidRDefault="002F4DF3">
            <w:pPr>
              <w:pStyle w:val="a5"/>
              <w:spacing w:after="0" w:line="360" w:lineRule="auto"/>
              <w:rPr>
                <w:rFonts w:ascii="仿宋" w:eastAsia="仿宋" w:hAnsi="仿宋" w:cs="仿宋"/>
                <w:sz w:val="24"/>
              </w:rPr>
            </w:pPr>
            <w:r>
              <w:rPr>
                <w:rFonts w:ascii="仿宋" w:eastAsia="仿宋" w:hAnsi="仿宋" w:cs="仿宋" w:hint="eastAsia"/>
                <w:sz w:val="24"/>
              </w:rPr>
              <w:t>外协加工</w:t>
            </w:r>
          </w:p>
        </w:tc>
        <w:tc>
          <w:tcPr>
            <w:tcW w:w="6369" w:type="dxa"/>
            <w:vAlign w:val="center"/>
          </w:tcPr>
          <w:p w:rsidR="00617FDF" w:rsidRDefault="002F4DF3">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1 \* GB3 \* MERGEFORMAT </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企业应根据物料的风险等级对关键部件的外协加工采取必要的控制措施，外协供应商应具备关键部件的生产、总装、测试及售后维保等能力；</w:t>
            </w:r>
          </w:p>
          <w:p w:rsidR="00617FDF" w:rsidRDefault="002F4DF3">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企业应与关键部件外协供应商签订采购合同和质量协议，采购合同和质量协议中应明确主要技术指标、验收要求及质保要求；</w:t>
            </w:r>
          </w:p>
          <w:p w:rsidR="00617FDF" w:rsidRDefault="002F4DF3">
            <w:pPr>
              <w:autoSpaceDE w:val="0"/>
              <w:autoSpaceDN w:val="0"/>
              <w:spacing w:line="360" w:lineRule="auto"/>
              <w:rPr>
                <w:rFonts w:ascii="仿宋" w:eastAsia="仿宋" w:hAnsi="仿宋" w:cs="仿宋"/>
                <w:sz w:val="24"/>
                <w:szCs w:val="28"/>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企业应定期对外协供应商质量管理体系进行现场审核或过程审核，其生产、质保等能力应满足要求。</w:t>
            </w:r>
          </w:p>
        </w:tc>
      </w:tr>
    </w:tbl>
    <w:p w:rsidR="00617FDF" w:rsidRDefault="002F4DF3">
      <w:pPr>
        <w:spacing w:line="560" w:lineRule="exact"/>
        <w:outlineLvl w:val="1"/>
        <w:rPr>
          <w:rFonts w:ascii="黑体" w:eastAsia="黑体" w:hAnsi="黑体" w:cs="黑体"/>
          <w:sz w:val="32"/>
          <w:szCs w:val="32"/>
        </w:rPr>
      </w:pPr>
      <w:r>
        <w:rPr>
          <w:rFonts w:ascii="黑体" w:eastAsia="黑体" w:hAnsi="黑体" w:cs="黑体" w:hint="eastAsia"/>
          <w:sz w:val="32"/>
          <w:szCs w:val="32"/>
        </w:rPr>
        <w:t>四、检查要点</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617FDF" w:rsidRDefault="002F4DF3">
      <w:pPr>
        <w:spacing w:line="360" w:lineRule="auto"/>
        <w:ind w:firstLineChars="131" w:firstLine="419"/>
        <w:outlineLvl w:val="2"/>
        <w:rPr>
          <w:rFonts w:ascii="楷体" w:eastAsia="楷体" w:hAnsi="楷体"/>
          <w:sz w:val="32"/>
          <w:szCs w:val="32"/>
        </w:rPr>
      </w:pPr>
      <w:bookmarkStart w:id="140" w:name="_Toc21922"/>
      <w:bookmarkStart w:id="141" w:name="_Toc4238"/>
      <w:bookmarkStart w:id="142" w:name="_Toc229"/>
      <w:bookmarkStart w:id="143" w:name="_Toc10411"/>
      <w:bookmarkStart w:id="144" w:name="_Toc25138"/>
      <w:bookmarkStart w:id="145" w:name="_Toc28393"/>
      <w:bookmarkStart w:id="146" w:name="_Toc26663"/>
      <w:bookmarkStart w:id="147" w:name="_Toc3199"/>
      <w:bookmarkStart w:id="148" w:name="_Toc6327"/>
      <w:bookmarkStart w:id="149" w:name="_Toc17857"/>
      <w:bookmarkStart w:id="150" w:name="_Toc9250"/>
      <w:bookmarkStart w:id="151" w:name="_Toc28122"/>
      <w:bookmarkStart w:id="152" w:name="_Toc11731"/>
      <w:bookmarkStart w:id="153" w:name="_Toc17164"/>
      <w:bookmarkEnd w:id="140"/>
      <w:bookmarkEnd w:id="141"/>
      <w:bookmarkEnd w:id="142"/>
      <w:bookmarkEnd w:id="143"/>
      <w:bookmarkEnd w:id="144"/>
      <w:bookmarkEnd w:id="145"/>
      <w:bookmarkEnd w:id="146"/>
      <w:bookmarkEnd w:id="147"/>
      <w:bookmarkEnd w:id="148"/>
      <w:bookmarkEnd w:id="149"/>
      <w:bookmarkEnd w:id="150"/>
      <w:bookmarkEnd w:id="151"/>
      <w:bookmarkEnd w:id="152"/>
      <w:r>
        <w:rPr>
          <w:rFonts w:ascii="楷体" w:eastAsia="楷体" w:hAnsi="楷体" w:hint="eastAsia"/>
          <w:sz w:val="32"/>
          <w:szCs w:val="32"/>
        </w:rPr>
        <w:t>（一）机构与人员</w:t>
      </w:r>
      <w:bookmarkEnd w:id="153"/>
    </w:p>
    <w:p w:rsidR="00617FDF" w:rsidRDefault="002F4DF3">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企业对从事影响产品质量的工作人员，特别是产品设计开发人员、从事关键工序和特殊过程的生产人员、安装人员、检验人员、检测和运行维护人员等，应当经过与其岗位要求相适应的培训，具有相关理论知识和实际操作技能。</w:t>
      </w:r>
    </w:p>
    <w:p w:rsidR="00617FDF" w:rsidRDefault="002F4DF3" w:rsidP="00CE0103">
      <w:pPr>
        <w:pStyle w:val="a"/>
        <w:numPr>
          <w:ilvl w:val="0"/>
          <w:numId w:val="2"/>
        </w:numPr>
      </w:pPr>
      <w:r>
        <w:rPr>
          <w:rFonts w:hint="eastAsia"/>
        </w:rPr>
        <w:t>人员能力方面</w:t>
      </w:r>
    </w:p>
    <w:p w:rsidR="00617FDF" w:rsidRDefault="002F4DF3" w:rsidP="00CE0103">
      <w:pPr>
        <w:pStyle w:val="a"/>
      </w:pPr>
      <w:r>
        <w:rPr>
          <w:rFonts w:hint="eastAsia"/>
        </w:rPr>
        <w:t>设计人员：企业应配备患者支撑系统机械设计、电气设计、底层控制软件、了解临床使用场景和医疗流程及风险管理相关要求等技术人员。</w:t>
      </w:r>
    </w:p>
    <w:p w:rsidR="00617FDF" w:rsidRDefault="002F4DF3" w:rsidP="00CE0103">
      <w:pPr>
        <w:pStyle w:val="a"/>
      </w:pPr>
      <w:r>
        <w:rPr>
          <w:rFonts w:hint="eastAsia"/>
        </w:rPr>
        <w:t>生产人员：企业应配备患者支撑系统控制部件、</w:t>
      </w:r>
      <w:r>
        <w:rPr>
          <w:rFonts w:hint="eastAsia"/>
        </w:rPr>
        <w:lastRenderedPageBreak/>
        <w:t>驱动部件、传感器、床面板等核心部件装配工艺设计人员。</w:t>
      </w:r>
    </w:p>
    <w:p w:rsidR="00617FDF" w:rsidRDefault="002F4DF3" w:rsidP="00CE0103">
      <w:pPr>
        <w:pStyle w:val="a"/>
      </w:pPr>
      <w:r>
        <w:rPr>
          <w:rFonts w:hint="eastAsia"/>
        </w:rPr>
        <w:t>安装人员：</w:t>
      </w:r>
    </w:p>
    <w:p w:rsidR="00617FDF" w:rsidRPr="00CE0103" w:rsidRDefault="002F4DF3" w:rsidP="00CE0103">
      <w:pPr>
        <w:ind w:left="5" w:firstLineChars="200" w:firstLine="640"/>
        <w:rPr>
          <w:rFonts w:ascii="仿宋" w:eastAsia="仿宋" w:hAnsi="仿宋"/>
          <w:sz w:val="32"/>
          <w:szCs w:val="32"/>
        </w:rPr>
      </w:pPr>
      <w:r w:rsidRPr="00CE0103">
        <w:rPr>
          <w:rFonts w:ascii="仿宋" w:eastAsia="仿宋" w:hAnsi="仿宋" w:hint="eastAsia"/>
          <w:sz w:val="32"/>
          <w:szCs w:val="32"/>
        </w:rPr>
        <w:t>①企业应配备熟悉患者支撑系统各部件结构、安装方法、安装工艺的安装人员。</w:t>
      </w:r>
    </w:p>
    <w:p w:rsidR="00617FDF" w:rsidRPr="00CE0103" w:rsidRDefault="002F4DF3" w:rsidP="00CE0103">
      <w:pPr>
        <w:ind w:left="640"/>
        <w:rPr>
          <w:rFonts w:ascii="仿宋" w:eastAsia="仿宋" w:hAnsi="仿宋"/>
          <w:sz w:val="32"/>
          <w:szCs w:val="32"/>
        </w:rPr>
      </w:pPr>
      <w:r w:rsidRPr="00CE0103">
        <w:rPr>
          <w:rFonts w:ascii="仿宋" w:eastAsia="仿宋" w:hAnsi="仿宋" w:hint="eastAsia"/>
          <w:sz w:val="32"/>
          <w:szCs w:val="32"/>
        </w:rPr>
        <w:t>②企业应配备持有叉车、行车等特种作业资格证的人员。</w:t>
      </w:r>
    </w:p>
    <w:p w:rsidR="00617FDF" w:rsidRDefault="002F4DF3" w:rsidP="00CE0103">
      <w:pPr>
        <w:pStyle w:val="a"/>
      </w:pPr>
      <w:r>
        <w:rPr>
          <w:rFonts w:hint="eastAsia"/>
        </w:rPr>
        <w:t>检验人员：</w:t>
      </w:r>
    </w:p>
    <w:p w:rsidR="00617FDF" w:rsidRPr="00CE0103" w:rsidRDefault="002F4DF3" w:rsidP="00CE0103">
      <w:pPr>
        <w:ind w:left="5" w:firstLineChars="200" w:firstLine="640"/>
        <w:rPr>
          <w:rFonts w:ascii="仿宋" w:eastAsia="仿宋" w:hAnsi="仿宋"/>
          <w:sz w:val="32"/>
          <w:szCs w:val="32"/>
        </w:rPr>
      </w:pPr>
      <w:r w:rsidRPr="00CE0103">
        <w:rPr>
          <w:rFonts w:ascii="仿宋" w:eastAsia="仿宋" w:hAnsi="仿宋" w:hint="eastAsia"/>
          <w:sz w:val="32"/>
          <w:szCs w:val="32"/>
        </w:rPr>
        <w:t>企业从事检验的人员岗位职责应覆盖患者支撑系统来料、过程等过程，应熟悉相关检验标准，为专职人员。</w:t>
      </w:r>
    </w:p>
    <w:p w:rsidR="00617FDF" w:rsidRDefault="002F4DF3" w:rsidP="00CE0103">
      <w:pPr>
        <w:pStyle w:val="a"/>
      </w:pPr>
      <w:r>
        <w:rPr>
          <w:rFonts w:hint="eastAsia"/>
        </w:rPr>
        <w:t>检测人员：</w:t>
      </w:r>
    </w:p>
    <w:p w:rsidR="00617FDF" w:rsidRPr="00CE0103" w:rsidRDefault="002F4DF3" w:rsidP="00CE0103">
      <w:pPr>
        <w:ind w:left="640"/>
        <w:rPr>
          <w:rFonts w:ascii="仿宋" w:eastAsia="仿宋" w:hAnsi="仿宋"/>
          <w:sz w:val="32"/>
          <w:szCs w:val="32"/>
        </w:rPr>
      </w:pPr>
      <w:r w:rsidRPr="00CE0103">
        <w:rPr>
          <w:rFonts w:ascii="仿宋" w:eastAsia="仿宋" w:hAnsi="仿宋" w:hint="eastAsia"/>
          <w:sz w:val="32"/>
          <w:szCs w:val="32"/>
        </w:rPr>
        <w:t>①企业应配备电气安全等专职检验人员。</w:t>
      </w:r>
    </w:p>
    <w:p w:rsidR="00617FDF" w:rsidRPr="00CE0103" w:rsidRDefault="002F4DF3" w:rsidP="00CE0103">
      <w:pPr>
        <w:ind w:firstLineChars="200" w:firstLine="640"/>
        <w:rPr>
          <w:rFonts w:ascii="仿宋" w:eastAsia="仿宋" w:hAnsi="仿宋"/>
          <w:sz w:val="32"/>
          <w:szCs w:val="32"/>
        </w:rPr>
      </w:pPr>
      <w:r w:rsidRPr="00CE0103">
        <w:rPr>
          <w:rFonts w:ascii="仿宋" w:eastAsia="仿宋" w:hAnsi="仿宋" w:hint="eastAsia"/>
          <w:sz w:val="32"/>
          <w:szCs w:val="32"/>
        </w:rPr>
        <w:t>②企业从事检测、出具报告、审核和批准检测结果的人员应具备相应专业的检测基础理论和专业知识，熟悉医疗器械相关法律法规、标准、技术要求、检验方法及仪器操作方法。</w:t>
      </w:r>
    </w:p>
    <w:p w:rsidR="00617FDF" w:rsidRDefault="002F4DF3" w:rsidP="00CE0103">
      <w:pPr>
        <w:pStyle w:val="a"/>
      </w:pPr>
      <w:r>
        <w:rPr>
          <w:rFonts w:hint="eastAsia"/>
        </w:rPr>
        <w:t>调试、运维人员：</w:t>
      </w:r>
    </w:p>
    <w:p w:rsidR="00617FDF" w:rsidRPr="00CE0103" w:rsidRDefault="002F4DF3" w:rsidP="00CE0103">
      <w:pPr>
        <w:ind w:left="640"/>
        <w:rPr>
          <w:rFonts w:ascii="仿宋" w:eastAsia="仿宋" w:hAnsi="仿宋"/>
          <w:sz w:val="32"/>
          <w:szCs w:val="32"/>
        </w:rPr>
      </w:pPr>
      <w:r w:rsidRPr="00CE0103">
        <w:rPr>
          <w:rFonts w:ascii="仿宋" w:eastAsia="仿宋" w:hAnsi="仿宋" w:hint="eastAsia"/>
          <w:sz w:val="32"/>
          <w:szCs w:val="32"/>
        </w:rPr>
        <w:t>①应具备患者支撑系统调试的能力。</w:t>
      </w:r>
    </w:p>
    <w:p w:rsidR="00617FDF" w:rsidRPr="00CE0103" w:rsidRDefault="002F4DF3" w:rsidP="00CE0103">
      <w:pPr>
        <w:ind w:left="640"/>
        <w:rPr>
          <w:rFonts w:ascii="仿宋" w:eastAsia="仿宋" w:hAnsi="仿宋"/>
          <w:sz w:val="32"/>
          <w:szCs w:val="32"/>
        </w:rPr>
      </w:pPr>
      <w:r w:rsidRPr="00CE0103">
        <w:rPr>
          <w:rFonts w:ascii="仿宋" w:eastAsia="仿宋" w:hAnsi="仿宋" w:hint="eastAsia"/>
          <w:sz w:val="32"/>
          <w:szCs w:val="32"/>
        </w:rPr>
        <w:t>②应具备故障诊断及检修的能力。</w:t>
      </w:r>
    </w:p>
    <w:p w:rsidR="00617FDF" w:rsidRPr="00CE0103" w:rsidRDefault="002F4DF3" w:rsidP="00CE0103">
      <w:pPr>
        <w:ind w:left="640"/>
        <w:rPr>
          <w:rFonts w:ascii="仿宋" w:eastAsia="仿宋" w:hAnsi="仿宋"/>
          <w:sz w:val="32"/>
          <w:szCs w:val="32"/>
        </w:rPr>
      </w:pPr>
      <w:r w:rsidRPr="00CE0103">
        <w:rPr>
          <w:rFonts w:ascii="仿宋" w:eastAsia="仿宋" w:hAnsi="仿宋" w:hint="eastAsia"/>
          <w:sz w:val="32"/>
          <w:szCs w:val="32"/>
        </w:rPr>
        <w:t>③应具备突发故障应急处置的能力。</w:t>
      </w:r>
    </w:p>
    <w:p w:rsidR="00617FDF" w:rsidRDefault="002F4DF3" w:rsidP="00CE0103">
      <w:pPr>
        <w:pStyle w:val="a"/>
        <w:numPr>
          <w:ilvl w:val="0"/>
          <w:numId w:val="2"/>
        </w:numPr>
      </w:pPr>
      <w:r>
        <w:rPr>
          <w:rFonts w:hint="eastAsia"/>
        </w:rPr>
        <w:t>人员培训：企业应对从事患者支撑系统的设计、生产、安装、调试、检验、检测、运行维护等岗位人员制定培训制度。培训内容是否包括相关法律法规、基础理论知识、专业</w:t>
      </w:r>
      <w:r>
        <w:rPr>
          <w:rFonts w:hint="eastAsia"/>
        </w:rPr>
        <w:lastRenderedPageBreak/>
        <w:t>操作技能、过程质量控制及质量检验、患者支撑系统的安装操作规程、调试操作规程及使用标定软件作业规程等。</w:t>
      </w:r>
    </w:p>
    <w:p w:rsidR="00617FDF" w:rsidRDefault="002F4DF3">
      <w:pPr>
        <w:spacing w:line="360" w:lineRule="auto"/>
        <w:ind w:firstLineChars="131" w:firstLine="419"/>
        <w:outlineLvl w:val="2"/>
        <w:rPr>
          <w:rFonts w:ascii="楷体" w:eastAsia="楷体" w:hAnsi="楷体"/>
          <w:sz w:val="32"/>
          <w:szCs w:val="32"/>
        </w:rPr>
      </w:pPr>
      <w:bookmarkStart w:id="154" w:name="_Toc6376"/>
      <w:bookmarkStart w:id="155" w:name="_Toc19418"/>
      <w:bookmarkStart w:id="156" w:name="_Toc24379"/>
      <w:bookmarkStart w:id="157" w:name="_Toc14014"/>
      <w:bookmarkStart w:id="158" w:name="_Toc23265"/>
      <w:bookmarkStart w:id="159" w:name="_Toc17702"/>
      <w:bookmarkStart w:id="160" w:name="_Toc21545"/>
      <w:bookmarkStart w:id="161" w:name="_Toc9333"/>
      <w:bookmarkStart w:id="162" w:name="_Toc12740"/>
      <w:bookmarkStart w:id="163" w:name="_Toc25197"/>
      <w:bookmarkStart w:id="164" w:name="_Toc17350"/>
      <w:bookmarkStart w:id="165" w:name="_Toc30183"/>
      <w:bookmarkStart w:id="166" w:name="_Toc28169"/>
      <w:bookmarkStart w:id="167" w:name="_Toc535"/>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楷体" w:eastAsia="楷体" w:hAnsi="楷体" w:hint="eastAsia"/>
          <w:sz w:val="32"/>
          <w:szCs w:val="32"/>
        </w:rPr>
        <w:t>（二）厂房与设施</w:t>
      </w:r>
      <w:bookmarkEnd w:id="167"/>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此部分内容详见总则要求。</w:t>
      </w:r>
    </w:p>
    <w:p w:rsidR="00617FDF" w:rsidRDefault="002F4DF3">
      <w:pPr>
        <w:spacing w:line="360" w:lineRule="auto"/>
        <w:ind w:firstLineChars="131" w:firstLine="419"/>
        <w:outlineLvl w:val="2"/>
        <w:rPr>
          <w:rFonts w:ascii="楷体" w:eastAsia="楷体" w:hAnsi="楷体"/>
          <w:sz w:val="32"/>
          <w:szCs w:val="32"/>
        </w:rPr>
      </w:pPr>
      <w:bookmarkStart w:id="168" w:name="_Toc29560"/>
      <w:bookmarkStart w:id="169" w:name="_Toc30882"/>
      <w:bookmarkStart w:id="170" w:name="_Toc3343"/>
      <w:bookmarkStart w:id="171" w:name="_Toc32185"/>
      <w:bookmarkStart w:id="172" w:name="_Toc25097"/>
      <w:bookmarkStart w:id="173" w:name="_Toc8076"/>
      <w:bookmarkStart w:id="174" w:name="_Toc30885"/>
      <w:bookmarkStart w:id="175" w:name="_Toc11525"/>
      <w:bookmarkStart w:id="176" w:name="_Toc16719"/>
      <w:bookmarkStart w:id="177" w:name="_Toc27780"/>
      <w:bookmarkStart w:id="178" w:name="_Toc11935"/>
      <w:bookmarkStart w:id="179" w:name="_Toc26767"/>
      <w:bookmarkStart w:id="180" w:name="_Toc17043"/>
      <w:bookmarkStart w:id="181" w:name="_Toc1141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楷体" w:eastAsia="楷体" w:hAnsi="楷体" w:hint="eastAsia"/>
          <w:sz w:val="32"/>
          <w:szCs w:val="32"/>
        </w:rPr>
        <w:t>（三）设备</w:t>
      </w:r>
      <w:bookmarkEnd w:id="181"/>
    </w:p>
    <w:p w:rsidR="00617FDF" w:rsidRDefault="002F4DF3">
      <w:pPr>
        <w:spacing w:line="360" w:lineRule="auto"/>
        <w:ind w:firstLine="640"/>
        <w:rPr>
          <w:rFonts w:ascii="仿宋" w:eastAsia="仿宋" w:hAnsi="仿宋"/>
          <w:sz w:val="32"/>
          <w:szCs w:val="32"/>
        </w:rPr>
      </w:pPr>
      <w:r>
        <w:rPr>
          <w:rFonts w:ascii="仿宋" w:eastAsia="仿宋" w:hAnsi="仿宋" w:hint="eastAsia"/>
          <w:color w:val="000000"/>
          <w:sz w:val="32"/>
          <w:szCs w:val="32"/>
        </w:rPr>
        <w:t>企业应当配备与其相匹配的生产设备、工艺装备、检验仪器和设备及计量器具，并加强其验证、检查、维护保养和检定/校准，确保有效运行。</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生产设备</w:t>
      </w:r>
    </w:p>
    <w:p w:rsidR="00617FDF" w:rsidRDefault="00CE0103" w:rsidP="00CE010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r w:rsidR="002F4DF3">
        <w:rPr>
          <w:rFonts w:ascii="仿宋" w:eastAsia="仿宋" w:hAnsi="仿宋" w:hint="eastAsia"/>
          <w:color w:val="000000"/>
          <w:sz w:val="32"/>
          <w:szCs w:val="32"/>
        </w:rPr>
        <w:t>生产设备：一般包括游标卡尺、千分尺、塞尺、角度仪、螺纹塞规、数字万用表，高精度加工中心、三坐标测量仪、激光跟踪仪等。</w:t>
      </w:r>
    </w:p>
    <w:p w:rsidR="00617FDF" w:rsidRDefault="00CE0103" w:rsidP="00CE0103">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w:t>
      </w:r>
      <w:r w:rsidR="002F4DF3">
        <w:rPr>
          <w:rFonts w:ascii="仿宋" w:eastAsia="仿宋" w:hAnsi="仿宋" w:hint="eastAsia"/>
          <w:color w:val="000000"/>
          <w:sz w:val="32"/>
          <w:szCs w:val="32"/>
        </w:rPr>
        <w:t>安装设备：一般包括激光跟踪仪、液压车、叉车、力矩扳手、螺纹塞规、卡尺测量工具、万用表、电气工具等。</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检验和检测设备：</w:t>
      </w:r>
      <w:r>
        <w:rPr>
          <w:rFonts w:ascii="仿宋" w:eastAsia="仿宋" w:hAnsi="仿宋" w:cs="Arial" w:hint="eastAsia"/>
          <w:color w:val="000000"/>
          <w:spacing w:val="-1"/>
          <w:sz w:val="32"/>
          <w:szCs w:val="28"/>
        </w:rPr>
        <w:t>一般包括万用表、钳形表、功率计、激光跟踪仪、耐压测试仪、漏电流测试仪、接地阻抗测试仪</w:t>
      </w:r>
      <w:r>
        <w:rPr>
          <w:rFonts w:ascii="仿宋" w:eastAsia="仿宋" w:hAnsi="仿宋" w:cs="Arial" w:hint="eastAsia"/>
          <w:sz w:val="32"/>
          <w:szCs w:val="32"/>
        </w:rPr>
        <w:t>、配重块、电子水平仪等。</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企业应建立监视测量设备相关管理程序文件，应对设备的采购、检定/校准、使用、维护保养等方面进行规定，并按照规定执行。</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企业应配备满足检测活动所需的监视测量设备，主要仪器和设备应具有明确的操作规程，并形成使用记录。</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lastRenderedPageBreak/>
        <w:t>企业应建立监视测量设备台账，应制定设备检定/校准周期和年度检定/校准计划。</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企业应对关键监视测量设备在长距离搬运、送校前、送校后进行功能核查，应满足使用要求。</w:t>
      </w:r>
    </w:p>
    <w:p w:rsidR="00617FDF" w:rsidRDefault="002F4DF3">
      <w:pPr>
        <w:numPr>
          <w:ilvl w:val="0"/>
          <w:numId w:val="4"/>
        </w:num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企业对不满足使用要求的检验仪器和设备，应对过往检验结果进行有效性评价，并保存评价记录。</w:t>
      </w:r>
    </w:p>
    <w:p w:rsidR="00617FDF" w:rsidRDefault="002F4DF3">
      <w:pPr>
        <w:spacing w:line="360" w:lineRule="auto"/>
        <w:ind w:firstLineChars="131" w:firstLine="419"/>
        <w:outlineLvl w:val="2"/>
        <w:rPr>
          <w:rFonts w:ascii="楷体" w:eastAsia="楷体" w:hAnsi="楷体"/>
          <w:sz w:val="32"/>
          <w:szCs w:val="32"/>
        </w:rPr>
      </w:pPr>
      <w:bookmarkStart w:id="182" w:name="_Toc31452"/>
      <w:bookmarkStart w:id="183" w:name="_Toc26811"/>
      <w:bookmarkStart w:id="184" w:name="_Toc25955"/>
      <w:bookmarkStart w:id="185" w:name="_Toc21022"/>
      <w:bookmarkStart w:id="186" w:name="_Toc32541"/>
      <w:bookmarkStart w:id="187" w:name="_Toc3320"/>
      <w:bookmarkStart w:id="188" w:name="_Toc27472"/>
      <w:bookmarkStart w:id="189" w:name="_Toc7041"/>
      <w:bookmarkStart w:id="190" w:name="_Toc16529"/>
      <w:bookmarkStart w:id="191" w:name="_Toc21084"/>
      <w:bookmarkStart w:id="192" w:name="_Toc23134"/>
      <w:bookmarkStart w:id="193" w:name="_Toc27986"/>
      <w:bookmarkStart w:id="194" w:name="_Toc15897"/>
      <w:bookmarkStart w:id="195" w:name="_Toc17880"/>
      <w:bookmarkEnd w:id="182"/>
      <w:bookmarkEnd w:id="183"/>
      <w:bookmarkEnd w:id="184"/>
      <w:bookmarkEnd w:id="185"/>
      <w:bookmarkEnd w:id="186"/>
      <w:bookmarkEnd w:id="187"/>
      <w:bookmarkEnd w:id="188"/>
      <w:bookmarkEnd w:id="189"/>
      <w:bookmarkEnd w:id="190"/>
      <w:bookmarkEnd w:id="191"/>
      <w:bookmarkEnd w:id="192"/>
      <w:bookmarkEnd w:id="193"/>
      <w:bookmarkEnd w:id="194"/>
      <w:r>
        <w:rPr>
          <w:rFonts w:ascii="楷体" w:eastAsia="楷体" w:hAnsi="楷体" w:hint="eastAsia"/>
          <w:sz w:val="32"/>
          <w:szCs w:val="32"/>
        </w:rPr>
        <w:t>（四）文件管理</w:t>
      </w:r>
      <w:bookmarkEnd w:id="195"/>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此部分内容详见总则要求。</w:t>
      </w:r>
    </w:p>
    <w:p w:rsidR="00617FDF" w:rsidRDefault="002F4DF3">
      <w:pPr>
        <w:spacing w:line="360" w:lineRule="auto"/>
        <w:ind w:firstLineChars="131" w:firstLine="419"/>
        <w:outlineLvl w:val="2"/>
        <w:rPr>
          <w:rFonts w:ascii="楷体" w:eastAsia="楷体" w:hAnsi="楷体"/>
          <w:sz w:val="32"/>
          <w:szCs w:val="32"/>
        </w:rPr>
      </w:pPr>
      <w:bookmarkStart w:id="196" w:name="_Toc19292"/>
      <w:bookmarkStart w:id="197" w:name="_Toc12058"/>
      <w:bookmarkStart w:id="198" w:name="_Toc30411"/>
      <w:bookmarkStart w:id="199" w:name="_Toc29501"/>
      <w:bookmarkStart w:id="200" w:name="_Toc14311"/>
      <w:bookmarkStart w:id="201" w:name="_Toc17782"/>
      <w:bookmarkStart w:id="202" w:name="_Toc21086"/>
      <w:bookmarkStart w:id="203" w:name="_Toc5990"/>
      <w:bookmarkStart w:id="204" w:name="_Toc22033"/>
      <w:bookmarkStart w:id="205" w:name="_Toc18084"/>
      <w:bookmarkStart w:id="206" w:name="_Toc20380"/>
      <w:bookmarkStart w:id="207" w:name="_Toc9586"/>
      <w:bookmarkStart w:id="208" w:name="_Toc2877"/>
      <w:bookmarkStart w:id="209" w:name="_Toc1693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楷体" w:eastAsia="楷体" w:hAnsi="楷体" w:hint="eastAsia"/>
          <w:sz w:val="32"/>
          <w:szCs w:val="32"/>
        </w:rPr>
        <w:t>（五）设计开发</w:t>
      </w:r>
      <w:bookmarkEnd w:id="209"/>
    </w:p>
    <w:p w:rsidR="00617FDF" w:rsidRDefault="002F4DF3">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企业应当建立设计和开发控制程序并形成文件，对产品设计和开发过程实施策划和控制，应当确定设计和开发的阶段及对各阶段的评审、验证、确认等活动。</w:t>
      </w:r>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1.设计输入</w:t>
      </w:r>
    </w:p>
    <w:p w:rsidR="00617FDF" w:rsidRDefault="002F4DF3" w:rsidP="00CE010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设计开发的输入应明确设计开发产品的设计需求、安全性能、使用性能和法律法规要求及针对风险应采取的控制措施。患者支撑系统的设计要求可参考相关国家标准、行业标准。如：需求规格书、患者支撑系统设计方案等。</w:t>
      </w:r>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2.设计输出</w:t>
      </w:r>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设计开发输出应满足设计开发输入的要求以及符合用户需求和产品设计需求，应当关注产品适用范围、功能性、安全性、有效性和质量可控性。设计和开发输出一般包括：</w:t>
      </w:r>
    </w:p>
    <w:p w:rsidR="00617FDF" w:rsidRDefault="002F4DF3" w:rsidP="00CE0103">
      <w:pPr>
        <w:pStyle w:val="a"/>
        <w:numPr>
          <w:ilvl w:val="0"/>
          <w:numId w:val="18"/>
        </w:numPr>
      </w:pPr>
      <w:r>
        <w:rPr>
          <w:rFonts w:hint="eastAsia"/>
        </w:rPr>
        <w:t>采购信息，如原材料、组件和部件技术要求等。</w:t>
      </w:r>
    </w:p>
    <w:p w:rsidR="00617FDF" w:rsidRDefault="002F4DF3" w:rsidP="00CE0103">
      <w:pPr>
        <w:pStyle w:val="a"/>
      </w:pPr>
      <w:r>
        <w:rPr>
          <w:rFonts w:hint="eastAsia"/>
        </w:rPr>
        <w:lastRenderedPageBreak/>
        <w:t>生产和服务所需的信息，如产品图纸、工艺流程图、生产/装配/安装/调试作业指导书、服务手册、环境要求等。</w:t>
      </w:r>
    </w:p>
    <w:p w:rsidR="00617FDF" w:rsidRDefault="002F4DF3" w:rsidP="00CE0103">
      <w:pPr>
        <w:pStyle w:val="a"/>
      </w:pPr>
      <w:r>
        <w:rPr>
          <w:rFonts w:hint="eastAsia"/>
        </w:rPr>
        <w:t>产品检验作业文件，如患者支撑系统检验作业指导书。</w:t>
      </w:r>
    </w:p>
    <w:p w:rsidR="00617FDF" w:rsidRDefault="002F4DF3" w:rsidP="00CE0103">
      <w:pPr>
        <w:pStyle w:val="a"/>
      </w:pPr>
      <w:r>
        <w:rPr>
          <w:rFonts w:hint="eastAsia"/>
        </w:rPr>
        <w:t>产品接收准则，如患者支撑系统检验调试验证作业文件等。</w:t>
      </w:r>
    </w:p>
    <w:p w:rsidR="00617FDF" w:rsidRDefault="002F4DF3" w:rsidP="00CE0103">
      <w:pPr>
        <w:pStyle w:val="a"/>
      </w:pPr>
      <w:r>
        <w:rPr>
          <w:rFonts w:hint="eastAsia"/>
        </w:rPr>
        <w:t>规定产品安全和正常使用所必须的产品特性，如产品使用说明书、包装和标签要求等。</w:t>
      </w:r>
    </w:p>
    <w:p w:rsidR="00617FDF" w:rsidRDefault="002F4DF3" w:rsidP="00CE0103">
      <w:pPr>
        <w:pStyle w:val="a"/>
      </w:pPr>
      <w:r>
        <w:rPr>
          <w:rFonts w:hint="eastAsia"/>
        </w:rPr>
        <w:t>标识和可追溯性要求等。</w:t>
      </w:r>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3.设计验证</w:t>
      </w:r>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企业应当基于风险评估结果来确定需进行验证的范围和程度，并确保有关操作的关键要素能够得到有效控制。应当保存设计和开发验证活动的详细原始数据记录资料，包括验证方案、验证报告、验证记录。设计和开发验证一般包括：包含原材料入厂检验验证、生产过程检验验证、现场安装确认验证、患者支撑系统的电磁兼容、电气安全测试及性能等检测。</w:t>
      </w:r>
    </w:p>
    <w:p w:rsidR="00617FDF" w:rsidRDefault="002F4DF3">
      <w:pPr>
        <w:spacing w:line="360" w:lineRule="auto"/>
        <w:ind w:firstLineChars="200" w:firstLine="640"/>
        <w:rPr>
          <w:rFonts w:ascii="仿宋" w:eastAsia="仿宋" w:hAnsi="仿宋" w:cs="Arial"/>
          <w:color w:val="000000"/>
          <w:kern w:val="0"/>
          <w:sz w:val="32"/>
          <w:szCs w:val="32"/>
        </w:rPr>
      </w:pPr>
      <w:r>
        <w:rPr>
          <w:rFonts w:ascii="仿宋" w:eastAsia="仿宋" w:hAnsi="仿宋" w:cs="Arial" w:hint="eastAsia"/>
          <w:color w:val="000000"/>
          <w:kern w:val="0"/>
          <w:sz w:val="32"/>
          <w:szCs w:val="32"/>
        </w:rPr>
        <w:t>4.风险控制</w:t>
      </w:r>
    </w:p>
    <w:p w:rsidR="00617FDF" w:rsidRDefault="002F4DF3">
      <w:pPr>
        <w:numPr>
          <w:ilvl w:val="0"/>
          <w:numId w:val="8"/>
        </w:numPr>
        <w:tabs>
          <w:tab w:val="left" w:pos="993"/>
        </w:tabs>
        <w:spacing w:line="360" w:lineRule="auto"/>
        <w:ind w:left="0" w:firstLine="567"/>
        <w:rPr>
          <w:rFonts w:ascii="仿宋" w:eastAsia="仿宋" w:hAnsi="仿宋" w:cs="Arial"/>
          <w:color w:val="000000"/>
          <w:kern w:val="0"/>
          <w:sz w:val="32"/>
          <w:szCs w:val="32"/>
        </w:rPr>
      </w:pPr>
      <w:r>
        <w:rPr>
          <w:rFonts w:ascii="仿宋" w:eastAsia="仿宋" w:hAnsi="仿宋" w:cs="Arial" w:hint="eastAsia"/>
          <w:color w:val="000000"/>
          <w:kern w:val="0"/>
          <w:sz w:val="32"/>
          <w:szCs w:val="32"/>
        </w:rPr>
        <w:t>产品设计开发过程应当依据风险管理控制程序实施风险管理活动，按照GB/T 42062《医疗器械 风险管理对医疗器械的应用》、GB 9706.1《医用电气设备第1部分:基</w:t>
      </w:r>
      <w:r>
        <w:rPr>
          <w:rFonts w:ascii="仿宋" w:eastAsia="仿宋" w:hAnsi="仿宋" w:cs="Arial" w:hint="eastAsia"/>
          <w:color w:val="000000"/>
          <w:kern w:val="0"/>
          <w:sz w:val="32"/>
          <w:szCs w:val="32"/>
        </w:rPr>
        <w:lastRenderedPageBreak/>
        <w:t>本安全和基本性能的通用要求》中第4至17章详细规定了医用电气设备的风险管理要求，包括ME设备试验的通用要求、ME设备标识、标记和文件、对电击危险的防护、对机械危险的防护、对超温和其他危险的防护、控制器和仪表的准确性和危险输出的防护、危险情况和故障状态、可编程医用电气系统（PEMS）、ME设备的结构、ME系统、电磁兼容性等条款、《质子/碳离子治疗系统技术审评指导原则》中危害矩阵等要求；制定风险的可接受准则，按要求识别可能存在的风险并进行分析、评价、控制措施贯穿于产品生命周期全过程。患者支撑系统主要的风险有治疗床移动范围、治疗床速度、控制与联锁接口、运行环境和故障处理等。</w:t>
      </w:r>
    </w:p>
    <w:p w:rsidR="00617FDF" w:rsidRDefault="002F4DF3">
      <w:pPr>
        <w:numPr>
          <w:ilvl w:val="0"/>
          <w:numId w:val="8"/>
        </w:numPr>
        <w:tabs>
          <w:tab w:val="left" w:pos="993"/>
        </w:tabs>
        <w:spacing w:line="360" w:lineRule="auto"/>
        <w:ind w:left="0" w:firstLine="567"/>
        <w:rPr>
          <w:rFonts w:ascii="仿宋" w:eastAsia="仿宋" w:hAnsi="仿宋" w:cs="Arial"/>
          <w:color w:val="000000"/>
          <w:kern w:val="0"/>
          <w:sz w:val="32"/>
          <w:szCs w:val="32"/>
        </w:rPr>
      </w:pPr>
      <w:r>
        <w:rPr>
          <w:rFonts w:ascii="仿宋" w:eastAsia="仿宋" w:hAnsi="仿宋" w:cs="Arial" w:hint="eastAsia"/>
          <w:color w:val="000000"/>
          <w:kern w:val="0"/>
          <w:sz w:val="32"/>
          <w:szCs w:val="32"/>
        </w:rPr>
        <w:t>当原材料、关键工艺、产品标准等方面的变化，应考虑其风险重新进行分析，评价和控制措施形成新风险管理资料并更新风险管理报告。</w:t>
      </w:r>
    </w:p>
    <w:p w:rsidR="00617FDF" w:rsidRDefault="002F4DF3">
      <w:pPr>
        <w:spacing w:line="360" w:lineRule="auto"/>
        <w:ind w:firstLineChars="131" w:firstLine="419"/>
        <w:outlineLvl w:val="2"/>
        <w:rPr>
          <w:rFonts w:ascii="楷体" w:eastAsia="楷体" w:hAnsi="楷体"/>
          <w:sz w:val="32"/>
          <w:szCs w:val="32"/>
        </w:rPr>
      </w:pPr>
      <w:bookmarkStart w:id="210" w:name="_Toc27781"/>
      <w:bookmarkStart w:id="211" w:name="_Toc15523"/>
      <w:bookmarkStart w:id="212" w:name="_Toc8259"/>
      <w:bookmarkStart w:id="213" w:name="_Toc22430"/>
      <w:bookmarkStart w:id="214" w:name="_Toc14486"/>
      <w:bookmarkStart w:id="215" w:name="_Toc6339"/>
      <w:bookmarkStart w:id="216" w:name="_Toc14387"/>
      <w:bookmarkStart w:id="217" w:name="_Toc11037"/>
      <w:bookmarkStart w:id="218" w:name="_Toc3268"/>
      <w:bookmarkStart w:id="219" w:name="_Toc15683"/>
      <w:bookmarkStart w:id="220" w:name="_Toc30446"/>
      <w:bookmarkStart w:id="221" w:name="_Toc3286"/>
      <w:bookmarkStart w:id="222" w:name="_Toc5519"/>
      <w:bookmarkStart w:id="223" w:name="_Toc10842"/>
      <w:bookmarkEnd w:id="210"/>
      <w:bookmarkEnd w:id="211"/>
      <w:bookmarkEnd w:id="212"/>
      <w:bookmarkEnd w:id="213"/>
      <w:bookmarkEnd w:id="214"/>
      <w:bookmarkEnd w:id="215"/>
      <w:bookmarkEnd w:id="216"/>
      <w:bookmarkEnd w:id="217"/>
      <w:bookmarkEnd w:id="218"/>
      <w:bookmarkEnd w:id="219"/>
      <w:bookmarkEnd w:id="220"/>
      <w:bookmarkEnd w:id="221"/>
      <w:bookmarkEnd w:id="222"/>
      <w:r>
        <w:rPr>
          <w:rFonts w:ascii="楷体" w:eastAsia="楷体" w:hAnsi="楷体" w:hint="eastAsia"/>
          <w:sz w:val="32"/>
          <w:szCs w:val="32"/>
        </w:rPr>
        <w:t>（六）采购</w:t>
      </w:r>
      <w:bookmarkEnd w:id="223"/>
    </w:p>
    <w:p w:rsidR="00617FDF" w:rsidRDefault="002F4DF3">
      <w:pPr>
        <w:spacing w:line="560" w:lineRule="exact"/>
        <w:ind w:firstLineChars="200" w:firstLine="640"/>
        <w:rPr>
          <w:rFonts w:ascii="仿宋" w:eastAsia="仿宋" w:hAnsi="仿宋"/>
          <w:sz w:val="32"/>
          <w:szCs w:val="32"/>
        </w:rPr>
      </w:pPr>
      <w:r>
        <w:rPr>
          <w:rFonts w:ascii="仿宋" w:eastAsia="仿宋" w:hAnsi="仿宋" w:cs="Arial" w:hint="eastAsia"/>
          <w:color w:val="000000"/>
          <w:sz w:val="32"/>
          <w:szCs w:val="32"/>
        </w:rPr>
        <w:t>患者支撑系统由外购和外协部件组成。对于外购部件，应在质量技术协议或采购合同中明确主要技术参数、规格型号、质量要求及验收标准等内容，必要时提供供方出厂检验报告。对于外协部件，应在质量技术协议中明确功能要求、技术参数、技术图纸、质量要求及验收标准等内容。对于关键部件，需实现采购可追溯。</w:t>
      </w:r>
    </w:p>
    <w:p w:rsidR="00617FDF" w:rsidRDefault="002F4DF3">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1.企业应具有物资分类明细表或物料清单，应至少包含产品名称、规格型号、分类等级等内容。应涵盖企业产品所</w:t>
      </w:r>
      <w:r>
        <w:rPr>
          <w:rFonts w:ascii="仿宋" w:eastAsia="仿宋" w:hAnsi="仿宋" w:cs="Arial" w:hint="eastAsia"/>
          <w:color w:val="000000"/>
          <w:sz w:val="32"/>
          <w:szCs w:val="32"/>
        </w:rPr>
        <w:lastRenderedPageBreak/>
        <w:t>涉及的全部原材料及辅料、耗材。企业应根据产品分类情况，对供方提出相应的控制要求。</w:t>
      </w:r>
    </w:p>
    <w:p w:rsidR="00617FDF" w:rsidRDefault="002F4DF3">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2.企业在采购原材料时，必须确保所采购的材料能够满足产品设计输出的规格要求，并严格遵守相关的采购合同、合同附件中的技术规格说明书以及质量协议等要求。对于已注册或备案的医疗器械部件采购，企业应保存有效的医疗器械产品注册证。此外，对于有强制性国家或行业标准规定的采购产品，其性能和质量必须满足或超过相应的标准要求。</w:t>
      </w:r>
    </w:p>
    <w:p w:rsidR="00617FDF" w:rsidRDefault="002F4DF3">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企业应保存采购过程活动记录，如患者支撑系统采购申请单、采购合同、出厂验证报告、安装现场的来料检验等信息等，记录内容包括但不限于以下关键信息：物料的品名、型号规格、批号、供应商（生产商）信息、质量标准、进货验收结果以及采购凭证等，记录应保持完整且可追溯。</w:t>
      </w:r>
    </w:p>
    <w:p w:rsidR="00617FDF" w:rsidRDefault="002F4DF3">
      <w:pPr>
        <w:spacing w:line="360" w:lineRule="auto"/>
        <w:ind w:firstLineChars="131" w:firstLine="419"/>
        <w:outlineLvl w:val="2"/>
        <w:rPr>
          <w:rFonts w:ascii="楷体" w:eastAsia="楷体" w:hAnsi="楷体"/>
          <w:sz w:val="32"/>
          <w:szCs w:val="32"/>
        </w:rPr>
      </w:pPr>
      <w:bookmarkStart w:id="224" w:name="_Toc11822"/>
      <w:bookmarkStart w:id="225" w:name="_Toc5172"/>
      <w:bookmarkStart w:id="226" w:name="_Toc19958"/>
      <w:bookmarkStart w:id="227" w:name="_Toc24503"/>
      <w:bookmarkStart w:id="228" w:name="_Toc8857"/>
      <w:bookmarkStart w:id="229" w:name="_Toc16250"/>
      <w:bookmarkStart w:id="230" w:name="_Toc2451"/>
      <w:bookmarkStart w:id="231" w:name="_Toc32579"/>
      <w:bookmarkStart w:id="232" w:name="_Toc5557"/>
      <w:bookmarkStart w:id="233" w:name="_Toc6023"/>
      <w:bookmarkStart w:id="234" w:name="_Toc8252"/>
      <w:bookmarkStart w:id="235" w:name="_Toc10405"/>
      <w:bookmarkStart w:id="236" w:name="_Toc19172"/>
      <w:bookmarkStart w:id="237" w:name="_Toc17390"/>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楷体" w:eastAsia="楷体" w:hAnsi="楷体" w:hint="eastAsia"/>
          <w:sz w:val="32"/>
          <w:szCs w:val="32"/>
        </w:rPr>
        <w:t>（七）生产管理</w:t>
      </w:r>
      <w:bookmarkEnd w:id="237"/>
    </w:p>
    <w:p w:rsidR="00617FDF" w:rsidRDefault="002F4DF3">
      <w:pPr>
        <w:spacing w:line="360" w:lineRule="auto"/>
        <w:ind w:firstLineChars="200" w:firstLine="636"/>
        <w:rPr>
          <w:rFonts w:ascii="仿宋" w:eastAsia="仿宋" w:hAnsi="仿宋" w:cs="Arial"/>
          <w:color w:val="000000"/>
          <w:spacing w:val="-1"/>
          <w:sz w:val="32"/>
          <w:szCs w:val="28"/>
        </w:rPr>
      </w:pPr>
      <w:bookmarkStart w:id="238" w:name="_Toc20153"/>
      <w:bookmarkStart w:id="239" w:name="_Toc17324"/>
      <w:bookmarkStart w:id="240" w:name="_Toc4759"/>
      <w:bookmarkStart w:id="241" w:name="_Toc9002"/>
      <w:bookmarkStart w:id="242" w:name="_Toc22368"/>
      <w:bookmarkStart w:id="243" w:name="_Toc21148"/>
      <w:bookmarkStart w:id="244" w:name="_Toc15882"/>
      <w:bookmarkStart w:id="245" w:name="_Toc26361"/>
      <w:bookmarkStart w:id="246" w:name="_Toc20525"/>
      <w:bookmarkStart w:id="247" w:name="_Toc27626"/>
      <w:bookmarkStart w:id="248" w:name="_Toc26855"/>
      <w:bookmarkStart w:id="249" w:name="_Toc32053"/>
      <w:bookmarkStart w:id="250" w:name="_Toc22651"/>
      <w:bookmarkStart w:id="251" w:name="_Toc18342"/>
      <w:r>
        <w:rPr>
          <w:rFonts w:ascii="仿宋" w:eastAsia="仿宋" w:hAnsi="仿宋" w:cs="Arial" w:hint="eastAsia"/>
          <w:color w:val="000000"/>
          <w:spacing w:val="-1"/>
          <w:sz w:val="32"/>
          <w:szCs w:val="28"/>
        </w:rPr>
        <w:t>生产过程是产品质量形成的关键保障，企业通过对人、机、料、法、环的控制，确保所有相关活动开展应符合相关法律、法规、标准及质量管理体系的要求。</w:t>
      </w:r>
    </w:p>
    <w:p w:rsidR="00617FDF" w:rsidRDefault="002F4DF3" w:rsidP="00CE0103">
      <w:pPr>
        <w:pStyle w:val="a"/>
        <w:numPr>
          <w:ilvl w:val="0"/>
          <w:numId w:val="9"/>
        </w:numPr>
      </w:pPr>
      <w:r>
        <w:rPr>
          <w:rFonts w:hint="eastAsia"/>
        </w:rPr>
        <w:t>生产：</w:t>
      </w:r>
    </w:p>
    <w:p w:rsidR="00617FDF" w:rsidRDefault="002F4DF3">
      <w:pPr>
        <w:numPr>
          <w:ilvl w:val="0"/>
          <w:numId w:val="10"/>
        </w:numPr>
        <w:tabs>
          <w:tab w:val="left" w:pos="1050"/>
        </w:tabs>
        <w:spacing w:line="360" w:lineRule="auto"/>
        <w:ind w:left="0" w:firstLine="640"/>
        <w:rPr>
          <w:rFonts w:ascii="仿宋" w:eastAsia="仿宋" w:hAnsi="仿宋"/>
          <w:color w:val="000000"/>
          <w:sz w:val="32"/>
          <w:szCs w:val="32"/>
        </w:rPr>
      </w:pPr>
      <w:bookmarkStart w:id="252" w:name="_GoBack"/>
      <w:bookmarkEnd w:id="252"/>
      <w:r>
        <w:rPr>
          <w:rFonts w:ascii="仿宋" w:eastAsia="仿宋" w:hAnsi="仿宋" w:hint="eastAsia"/>
          <w:color w:val="000000"/>
          <w:sz w:val="32"/>
          <w:szCs w:val="32"/>
        </w:rPr>
        <w:t>企业应识别产品的全部特性和相应工艺流程，并依据产品特性要求明确产品实现各阶段控制要求和必要的资源条件。</w:t>
      </w:r>
    </w:p>
    <w:p w:rsidR="00617FDF" w:rsidRDefault="002F4DF3">
      <w:pPr>
        <w:numPr>
          <w:ilvl w:val="0"/>
          <w:numId w:val="10"/>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企业应评价产品实现过程的质量形成因素，识别</w:t>
      </w:r>
      <w:r>
        <w:rPr>
          <w:rFonts w:ascii="仿宋" w:eastAsia="仿宋" w:hAnsi="仿宋" w:hint="eastAsia"/>
          <w:color w:val="000000"/>
          <w:sz w:val="32"/>
          <w:szCs w:val="32"/>
        </w:rPr>
        <w:lastRenderedPageBreak/>
        <w:t>对质量有影响的相关过程、关键工序和特殊过程，并制定形成文件的程序、作业指导书以及引用资料和引用的测量程序。</w:t>
      </w:r>
    </w:p>
    <w:p w:rsidR="00617FDF" w:rsidRDefault="002F4DF3">
      <w:pPr>
        <w:numPr>
          <w:ilvl w:val="0"/>
          <w:numId w:val="10"/>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明确关键工序或特殊过程中的重要工艺参数，并制定关键工序、特殊过程的重要工艺参数验证确认的规定，各操作人员应严格执行。操作人员应做好过程监测记录，记录内容必须包含产品名称、规格型号、生产批号或产品序列号、工艺参数、检验结果、作业环境、作业人员、作业日期、所使用的主要仪器、设备或工装等可追溯性信息。</w:t>
      </w:r>
    </w:p>
    <w:p w:rsidR="00617FDF" w:rsidRDefault="002F4DF3" w:rsidP="00CE0103">
      <w:pPr>
        <w:pStyle w:val="a"/>
        <w:numPr>
          <w:ilvl w:val="0"/>
          <w:numId w:val="9"/>
        </w:numPr>
      </w:pPr>
      <w:r>
        <w:rPr>
          <w:rFonts w:hint="eastAsia"/>
        </w:rPr>
        <w:t>安装：</w:t>
      </w:r>
    </w:p>
    <w:p w:rsidR="00617FDF" w:rsidRDefault="002F4DF3">
      <w:pPr>
        <w:numPr>
          <w:ilvl w:val="0"/>
          <w:numId w:val="11"/>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企业应制定患者支撑系统的安装作业文件及安装验收要求文件。</w:t>
      </w:r>
    </w:p>
    <w:p w:rsidR="00617FDF" w:rsidRDefault="002F4DF3">
      <w:pPr>
        <w:numPr>
          <w:ilvl w:val="0"/>
          <w:numId w:val="11"/>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企业应根据安装作业的具体要求配置所需的安装设备，确保使用过程中的记录完整、真实、可追溯。对于任何异常记录，企业应进行进一步调查和必要的处理，确保安装过程的质量和安全。</w:t>
      </w:r>
    </w:p>
    <w:p w:rsidR="00617FDF" w:rsidRDefault="002F4DF3">
      <w:pPr>
        <w:numPr>
          <w:ilvl w:val="0"/>
          <w:numId w:val="11"/>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企业应具有完善的辐射剂量检测措施和防护措施。</w:t>
      </w:r>
    </w:p>
    <w:p w:rsidR="00617FDF" w:rsidRDefault="002F4DF3">
      <w:pPr>
        <w:numPr>
          <w:ilvl w:val="0"/>
          <w:numId w:val="11"/>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企业应确认安装工作按照作业文件执行，确保患者支撑系统的运行可靠性和稳定性，并对安装结果进行符合性验证。</w:t>
      </w:r>
    </w:p>
    <w:p w:rsidR="00617FDF" w:rsidRDefault="002F4DF3">
      <w:pPr>
        <w:numPr>
          <w:ilvl w:val="0"/>
          <w:numId w:val="11"/>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安装完成后，企业应进行必要的性能测试和安全检查，确保符合预定的性能标准和安全要求。</w:t>
      </w:r>
    </w:p>
    <w:p w:rsidR="00617FDF" w:rsidRDefault="002F4DF3" w:rsidP="00CE0103">
      <w:pPr>
        <w:pStyle w:val="a"/>
        <w:numPr>
          <w:ilvl w:val="0"/>
          <w:numId w:val="9"/>
        </w:numPr>
      </w:pPr>
      <w:r>
        <w:rPr>
          <w:rFonts w:hint="eastAsia"/>
        </w:rPr>
        <w:t>调试：</w:t>
      </w:r>
    </w:p>
    <w:p w:rsidR="00617FDF" w:rsidRDefault="002F4DF3">
      <w:pPr>
        <w:numPr>
          <w:ilvl w:val="0"/>
          <w:numId w:val="12"/>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lastRenderedPageBreak/>
        <w:t>企业应制定患者支撑系统调试作业文件。</w:t>
      </w:r>
    </w:p>
    <w:p w:rsidR="00617FDF" w:rsidRDefault="002F4DF3">
      <w:pPr>
        <w:numPr>
          <w:ilvl w:val="0"/>
          <w:numId w:val="12"/>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企业应配置调试所需要的检验设备，并进行管理。</w:t>
      </w:r>
    </w:p>
    <w:p w:rsidR="00617FDF" w:rsidRDefault="002F4DF3">
      <w:pPr>
        <w:numPr>
          <w:ilvl w:val="0"/>
          <w:numId w:val="12"/>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按照调试作业文件的要求及设计指标的要求进行患者支撑系统调试，确认可用床面、床面的横向刚度、患者支撑系统绕等中心的旋转、患者支撑系统平移准确性、患者支撑系统旋转准确性等指标满足要求，并形成相应的记录。</w:t>
      </w:r>
    </w:p>
    <w:p w:rsidR="00617FDF" w:rsidRDefault="002F4DF3">
      <w:pPr>
        <w:numPr>
          <w:ilvl w:val="0"/>
          <w:numId w:val="13"/>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质量控制</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17FDF" w:rsidRDefault="002F4DF3">
      <w:pPr>
        <w:spacing w:line="360" w:lineRule="auto"/>
        <w:ind w:firstLineChars="262" w:firstLine="838"/>
        <w:rPr>
          <w:rFonts w:ascii="仿宋" w:eastAsia="仿宋" w:hAnsi="仿宋" w:cs="仿宋"/>
          <w:szCs w:val="21"/>
        </w:rPr>
      </w:pPr>
      <w:r>
        <w:rPr>
          <w:rFonts w:ascii="仿宋" w:eastAsia="仿宋" w:hAnsi="仿宋" w:cs="仿宋" w:hint="eastAsia"/>
          <w:color w:val="000000"/>
          <w:sz w:val="32"/>
          <w:szCs w:val="32"/>
          <w:lang w:bidi="ar"/>
        </w:rPr>
        <w:t>企业应建立质量控制程序，规定检验部门、人员、操作等要求，并规定检验仪器设备的使用、校准等要求，以及产品放行的程序。</w:t>
      </w:r>
    </w:p>
    <w:p w:rsidR="00617FDF" w:rsidRDefault="002F4DF3">
      <w:pPr>
        <w:numPr>
          <w:ilvl w:val="0"/>
          <w:numId w:val="14"/>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控制程序</w:t>
      </w:r>
    </w:p>
    <w:p w:rsidR="00617FDF" w:rsidRDefault="002F4DF3">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bidi="ar"/>
        </w:rPr>
        <w:t>企业应建立相应检验管理控制程序文件，如：检验放行控制程序、不合格品控制程序、监视测量设备管理控制程序等等。</w:t>
      </w:r>
    </w:p>
    <w:p w:rsidR="00617FDF" w:rsidRDefault="002F4DF3">
      <w:pPr>
        <w:numPr>
          <w:ilvl w:val="0"/>
          <w:numId w:val="14"/>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来料、过程控制</w:t>
      </w:r>
    </w:p>
    <w:p w:rsidR="00617FDF" w:rsidRDefault="002F4DF3">
      <w:pPr>
        <w:numPr>
          <w:ilvl w:val="0"/>
          <w:numId w:val="15"/>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企业应对外购或外协设备来料形成验收资料，外协应包含厂家出厂方案及验收报告。</w:t>
      </w:r>
    </w:p>
    <w:p w:rsidR="00617FDF" w:rsidRDefault="002F4DF3">
      <w:pPr>
        <w:numPr>
          <w:ilvl w:val="0"/>
          <w:numId w:val="15"/>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企业应对产品生产、安装调试过程形成验收记录，应包含关键控制参数。</w:t>
      </w:r>
    </w:p>
    <w:p w:rsidR="00617FDF" w:rsidRDefault="002F4DF3">
      <w:pPr>
        <w:numPr>
          <w:ilvl w:val="0"/>
          <w:numId w:val="14"/>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计算机软件确认</w:t>
      </w:r>
    </w:p>
    <w:p w:rsidR="00617FDF" w:rsidRDefault="002F4DF3">
      <w:pPr>
        <w:numPr>
          <w:ilvl w:val="0"/>
          <w:numId w:val="16"/>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企业应制定计算机软件确认程序文件。</w:t>
      </w:r>
    </w:p>
    <w:p w:rsidR="00617FDF" w:rsidRDefault="002F4DF3">
      <w:pPr>
        <w:numPr>
          <w:ilvl w:val="0"/>
          <w:numId w:val="16"/>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lastRenderedPageBreak/>
        <w:t>企业应对生产、安装过程使用的生产设备或监视测量设备、检验目的的测试软件和质量管理软件在使用前应进行确认；当软件更改、受计算机病毒侵害等情况发生时，企业应进行再确认。</w:t>
      </w:r>
    </w:p>
    <w:p w:rsidR="00617FDF" w:rsidRDefault="002F4DF3">
      <w:pPr>
        <w:numPr>
          <w:ilvl w:val="0"/>
          <w:numId w:val="14"/>
        </w:numPr>
        <w:tabs>
          <w:tab w:val="left" w:pos="840"/>
          <w:tab w:val="left" w:pos="1050"/>
        </w:tabs>
        <w:spacing w:line="360" w:lineRule="auto"/>
        <w:ind w:left="0" w:firstLine="640"/>
        <w:rPr>
          <w:rFonts w:ascii="仿宋" w:eastAsia="仿宋" w:hAnsi="仿宋" w:cs="仿宋"/>
          <w:bCs/>
          <w:sz w:val="32"/>
          <w:szCs w:val="32"/>
          <w:lang w:bidi="ar"/>
        </w:rPr>
      </w:pPr>
      <w:r>
        <w:rPr>
          <w:rFonts w:ascii="仿宋" w:eastAsia="仿宋" w:hAnsi="仿宋" w:cs="仿宋" w:hint="eastAsia"/>
          <w:bCs/>
          <w:sz w:val="32"/>
          <w:szCs w:val="32"/>
          <w:lang w:bidi="ar"/>
        </w:rPr>
        <w:t>不合格品控制</w:t>
      </w:r>
    </w:p>
    <w:p w:rsidR="00617FDF" w:rsidRDefault="002F4DF3">
      <w:pPr>
        <w:numPr>
          <w:ilvl w:val="0"/>
          <w:numId w:val="1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企业应建立不合格品控制程序，规定不合格品控制的部门和人员的职责与权限。</w:t>
      </w:r>
    </w:p>
    <w:p w:rsidR="00617FDF" w:rsidRDefault="002F4DF3">
      <w:pPr>
        <w:numPr>
          <w:ilvl w:val="0"/>
          <w:numId w:val="1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企业应明确不合格物料的识别、记录、隔离和评审流程，根据评审结果，对不合格物料采取相应的处置措施。</w:t>
      </w:r>
    </w:p>
    <w:p w:rsidR="00617FDF" w:rsidRDefault="002F4DF3">
      <w:pPr>
        <w:numPr>
          <w:ilvl w:val="0"/>
          <w:numId w:val="1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企业应按程序文件要求执行，对不合格物料分门归类、原因分析、纠正预防措施应合理、有效，应进行评审，且保留评审记录。</w:t>
      </w:r>
    </w:p>
    <w:p w:rsidR="00617FDF" w:rsidRDefault="002F4DF3">
      <w:pPr>
        <w:numPr>
          <w:ilvl w:val="0"/>
          <w:numId w:val="1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企业应对可以返工的不合格物料作出规定，应按照返工文件要求进行返工活动，并记录。</w:t>
      </w:r>
    </w:p>
    <w:p w:rsidR="00617FDF" w:rsidRDefault="002F4DF3">
      <w:pPr>
        <w:numPr>
          <w:ilvl w:val="0"/>
          <w:numId w:val="1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企业应建立不合格物料处置记录，记录内容应完整且能有效反映处置的过程，满足可追溯要求。</w:t>
      </w:r>
    </w:p>
    <w:p w:rsidR="00617FDF" w:rsidRDefault="00617FDF">
      <w:pPr>
        <w:spacing w:line="360" w:lineRule="auto"/>
        <w:ind w:firstLineChars="131" w:firstLine="419"/>
        <w:outlineLvl w:val="2"/>
        <w:rPr>
          <w:rFonts w:ascii="楷体" w:eastAsia="楷体" w:hAnsi="楷体"/>
          <w:sz w:val="32"/>
          <w:szCs w:val="32"/>
        </w:rPr>
      </w:pPr>
    </w:p>
    <w:sectPr w:rsidR="00617FD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B6" w:rsidRDefault="002710B6" w:rsidP="00F608B5">
      <w:r>
        <w:separator/>
      </w:r>
    </w:p>
  </w:endnote>
  <w:endnote w:type="continuationSeparator" w:id="0">
    <w:p w:rsidR="002710B6" w:rsidRDefault="002710B6" w:rsidP="00F6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118470"/>
      <w:docPartObj>
        <w:docPartGallery w:val="Page Numbers (Bottom of Page)"/>
        <w:docPartUnique/>
      </w:docPartObj>
    </w:sdtPr>
    <w:sdtEndPr/>
    <w:sdtContent>
      <w:sdt>
        <w:sdtPr>
          <w:id w:val="1728636285"/>
          <w:docPartObj>
            <w:docPartGallery w:val="Page Numbers (Top of Page)"/>
            <w:docPartUnique/>
          </w:docPartObj>
        </w:sdtPr>
        <w:sdtEndPr/>
        <w:sdtContent>
          <w:p w:rsidR="00F608B5" w:rsidRDefault="00F608B5">
            <w:pPr>
              <w:pStyle w:val="a9"/>
              <w:jc w:val="center"/>
            </w:pPr>
            <w:r w:rsidRPr="00F608B5">
              <w:rPr>
                <w:rFonts w:ascii="宋体" w:hAnsi="宋体" w:hint="eastAsia"/>
                <w:sz w:val="21"/>
                <w:szCs w:val="21"/>
              </w:rPr>
              <w:t>第</w:t>
            </w:r>
            <w:r w:rsidRPr="00F608B5">
              <w:rPr>
                <w:rFonts w:ascii="宋体" w:hAnsi="宋体"/>
                <w:bCs/>
                <w:sz w:val="21"/>
                <w:szCs w:val="21"/>
              </w:rPr>
              <w:fldChar w:fldCharType="begin"/>
            </w:r>
            <w:r w:rsidRPr="00F608B5">
              <w:rPr>
                <w:rFonts w:ascii="宋体" w:hAnsi="宋体"/>
                <w:bCs/>
                <w:sz w:val="21"/>
                <w:szCs w:val="21"/>
              </w:rPr>
              <w:instrText>PAGE</w:instrText>
            </w:r>
            <w:r w:rsidRPr="00F608B5">
              <w:rPr>
                <w:rFonts w:ascii="宋体" w:hAnsi="宋体"/>
                <w:bCs/>
                <w:sz w:val="21"/>
                <w:szCs w:val="21"/>
              </w:rPr>
              <w:fldChar w:fldCharType="separate"/>
            </w:r>
            <w:r w:rsidR="00CE0103">
              <w:rPr>
                <w:rFonts w:ascii="宋体" w:hAnsi="宋体"/>
                <w:bCs/>
                <w:noProof/>
                <w:sz w:val="21"/>
                <w:szCs w:val="21"/>
              </w:rPr>
              <w:t>14</w:t>
            </w:r>
            <w:r w:rsidRPr="00F608B5">
              <w:rPr>
                <w:rFonts w:ascii="宋体" w:hAnsi="宋体"/>
                <w:bCs/>
                <w:sz w:val="21"/>
                <w:szCs w:val="21"/>
              </w:rPr>
              <w:fldChar w:fldCharType="end"/>
            </w:r>
            <w:r w:rsidRPr="00F608B5">
              <w:rPr>
                <w:rFonts w:ascii="宋体" w:hAnsi="宋体" w:hint="eastAsia"/>
                <w:sz w:val="21"/>
                <w:szCs w:val="21"/>
                <w:lang w:val="zh-CN"/>
              </w:rPr>
              <w:t>页 共</w:t>
            </w:r>
            <w:r w:rsidRPr="00F608B5">
              <w:rPr>
                <w:rFonts w:ascii="宋体" w:hAnsi="宋体"/>
                <w:bCs/>
                <w:sz w:val="21"/>
                <w:szCs w:val="21"/>
              </w:rPr>
              <w:fldChar w:fldCharType="begin"/>
            </w:r>
            <w:r w:rsidRPr="00F608B5">
              <w:rPr>
                <w:rFonts w:ascii="宋体" w:hAnsi="宋体"/>
                <w:bCs/>
                <w:sz w:val="21"/>
                <w:szCs w:val="21"/>
              </w:rPr>
              <w:instrText>NUMPAGES</w:instrText>
            </w:r>
            <w:r w:rsidRPr="00F608B5">
              <w:rPr>
                <w:rFonts w:ascii="宋体" w:hAnsi="宋体"/>
                <w:bCs/>
                <w:sz w:val="21"/>
                <w:szCs w:val="21"/>
              </w:rPr>
              <w:fldChar w:fldCharType="separate"/>
            </w:r>
            <w:r w:rsidR="00CE0103">
              <w:rPr>
                <w:rFonts w:ascii="宋体" w:hAnsi="宋体"/>
                <w:bCs/>
                <w:noProof/>
                <w:sz w:val="21"/>
                <w:szCs w:val="21"/>
              </w:rPr>
              <w:t>15</w:t>
            </w:r>
            <w:r w:rsidRPr="00F608B5">
              <w:rPr>
                <w:rFonts w:ascii="宋体" w:hAnsi="宋体"/>
                <w:bCs/>
                <w:sz w:val="21"/>
                <w:szCs w:val="21"/>
              </w:rPr>
              <w:fldChar w:fldCharType="end"/>
            </w:r>
            <w:r w:rsidRPr="00F608B5">
              <w:rPr>
                <w:rFonts w:ascii="宋体" w:hAnsi="宋体" w:hint="eastAsia"/>
                <w:bCs/>
                <w:sz w:val="21"/>
                <w:szCs w:val="21"/>
              </w:rPr>
              <w:t>页</w:t>
            </w:r>
          </w:p>
        </w:sdtContent>
      </w:sdt>
    </w:sdtContent>
  </w:sdt>
  <w:p w:rsidR="00F608B5" w:rsidRDefault="00F608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B6" w:rsidRDefault="002710B6" w:rsidP="00F608B5">
      <w:r>
        <w:separator/>
      </w:r>
    </w:p>
  </w:footnote>
  <w:footnote w:type="continuationSeparator" w:id="0">
    <w:p w:rsidR="002710B6" w:rsidRDefault="002710B6" w:rsidP="00F60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8A4BF"/>
    <w:multiLevelType w:val="singleLevel"/>
    <w:tmpl w:val="3A2C11A8"/>
    <w:lvl w:ilvl="0">
      <w:start w:val="1"/>
      <w:numFmt w:val="decimal"/>
      <w:suff w:val="nothing"/>
      <w:lvlText w:val="%1．"/>
      <w:lvlJc w:val="left"/>
      <w:pPr>
        <w:ind w:left="0" w:firstLine="454"/>
      </w:pPr>
      <w:rPr>
        <w:rFonts w:hint="default"/>
      </w:rPr>
    </w:lvl>
  </w:abstractNum>
  <w:abstractNum w:abstractNumId="1" w15:restartNumberingAfterBreak="0">
    <w:nsid w:val="B5FA87CC"/>
    <w:multiLevelType w:val="singleLevel"/>
    <w:tmpl w:val="A4C21DBA"/>
    <w:lvl w:ilvl="0">
      <w:start w:val="1"/>
      <w:numFmt w:val="decimal"/>
      <w:suff w:val="nothing"/>
      <w:lvlText w:val="（%1)"/>
      <w:lvlJc w:val="left"/>
      <w:pPr>
        <w:ind w:left="425" w:hanging="425"/>
      </w:pPr>
      <w:rPr>
        <w:rFonts w:hint="default"/>
      </w:rPr>
    </w:lvl>
  </w:abstractNum>
  <w:abstractNum w:abstractNumId="2" w15:restartNumberingAfterBreak="0">
    <w:nsid w:val="B65C1B41"/>
    <w:multiLevelType w:val="singleLevel"/>
    <w:tmpl w:val="CE7C0D8E"/>
    <w:lvl w:ilvl="0">
      <w:start w:val="1"/>
      <w:numFmt w:val="decimal"/>
      <w:suff w:val="nothing"/>
      <w:lvlText w:val="（%1)"/>
      <w:lvlJc w:val="left"/>
      <w:pPr>
        <w:ind w:left="420" w:hanging="420"/>
      </w:pPr>
      <w:rPr>
        <w:rFonts w:hint="default"/>
      </w:rPr>
    </w:lvl>
  </w:abstractNum>
  <w:abstractNum w:abstractNumId="3" w15:restartNumberingAfterBreak="0">
    <w:nsid w:val="E8B6D3FC"/>
    <w:multiLevelType w:val="singleLevel"/>
    <w:tmpl w:val="14242AD6"/>
    <w:lvl w:ilvl="0">
      <w:start w:val="1"/>
      <w:numFmt w:val="decimal"/>
      <w:suff w:val="nothing"/>
      <w:lvlText w:val="（%1）"/>
      <w:lvlJc w:val="left"/>
      <w:pPr>
        <w:ind w:left="425" w:hanging="425"/>
      </w:pPr>
      <w:rPr>
        <w:rFonts w:hint="default"/>
      </w:rPr>
    </w:lvl>
  </w:abstractNum>
  <w:abstractNum w:abstractNumId="4" w15:restartNumberingAfterBreak="0">
    <w:nsid w:val="EEDD0BE0"/>
    <w:multiLevelType w:val="singleLevel"/>
    <w:tmpl w:val="EEDD0BE0"/>
    <w:lvl w:ilvl="0">
      <w:start w:val="7"/>
      <w:numFmt w:val="chineseCounting"/>
      <w:suff w:val="nothing"/>
      <w:lvlText w:val="（%1）"/>
      <w:lvlJc w:val="left"/>
      <w:rPr>
        <w:rFonts w:hint="eastAsia"/>
      </w:rPr>
    </w:lvl>
  </w:abstractNum>
  <w:abstractNum w:abstractNumId="5" w15:restartNumberingAfterBreak="0">
    <w:nsid w:val="FD685F56"/>
    <w:multiLevelType w:val="singleLevel"/>
    <w:tmpl w:val="B85081B4"/>
    <w:lvl w:ilvl="0">
      <w:start w:val="1"/>
      <w:numFmt w:val="decimal"/>
      <w:lvlText w:val="（%1)"/>
      <w:lvlJc w:val="left"/>
      <w:pPr>
        <w:ind w:left="425" w:hanging="425"/>
      </w:pPr>
      <w:rPr>
        <w:rFonts w:hint="default"/>
      </w:rPr>
    </w:lvl>
  </w:abstractNum>
  <w:abstractNum w:abstractNumId="6" w15:restartNumberingAfterBreak="0">
    <w:nsid w:val="05C8433C"/>
    <w:multiLevelType w:val="singleLevel"/>
    <w:tmpl w:val="05C8433C"/>
    <w:lvl w:ilvl="0">
      <w:start w:val="1"/>
      <w:numFmt w:val="decimal"/>
      <w:suff w:val="nothing"/>
      <w:lvlText w:val="%1．"/>
      <w:lvlJc w:val="left"/>
      <w:pPr>
        <w:ind w:left="0" w:firstLine="400"/>
      </w:pPr>
      <w:rPr>
        <w:rFonts w:hint="default"/>
      </w:rPr>
    </w:lvl>
  </w:abstractNum>
  <w:abstractNum w:abstractNumId="7" w15:restartNumberingAfterBreak="0">
    <w:nsid w:val="08C92FE3"/>
    <w:multiLevelType w:val="multilevel"/>
    <w:tmpl w:val="08C92FE3"/>
    <w:lvl w:ilvl="0">
      <w:start w:val="1"/>
      <w:numFmt w:val="decimal"/>
      <w:lvlText w:val="%1)"/>
      <w:lvlJc w:val="left"/>
      <w:pPr>
        <w:ind w:left="425" w:hanging="425"/>
      </w:pPr>
      <w:rPr>
        <w:rFonts w:ascii="仿宋" w:eastAsia="仿宋" w:hAnsi="仿宋" w:cs="仿宋"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17D2870"/>
    <w:multiLevelType w:val="multilevel"/>
    <w:tmpl w:val="9B849548"/>
    <w:lvl w:ilvl="0">
      <w:start w:val="1"/>
      <w:numFmt w:val="decimal"/>
      <w:suff w:val="nothing"/>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81F90AA"/>
    <w:multiLevelType w:val="singleLevel"/>
    <w:tmpl w:val="8AD214CE"/>
    <w:lvl w:ilvl="0">
      <w:start w:val="1"/>
      <w:numFmt w:val="decimal"/>
      <w:suff w:val="nothing"/>
      <w:lvlText w:val="（%1）"/>
      <w:lvlJc w:val="left"/>
      <w:pPr>
        <w:ind w:left="425" w:hanging="425"/>
      </w:pPr>
      <w:rPr>
        <w:rFonts w:hint="default"/>
      </w:rPr>
    </w:lvl>
  </w:abstractNum>
  <w:abstractNum w:abstractNumId="10" w15:restartNumberingAfterBreak="0">
    <w:nsid w:val="1BC1604F"/>
    <w:multiLevelType w:val="multilevel"/>
    <w:tmpl w:val="1BC1604F"/>
    <w:lvl w:ilvl="0">
      <w:start w:val="1"/>
      <w:numFmt w:val="decimal"/>
      <w:lvlText w:val="%1)"/>
      <w:lvlJc w:val="left"/>
      <w:pPr>
        <w:ind w:left="425" w:hanging="425"/>
      </w:pPr>
      <w:rPr>
        <w:rFonts w:ascii="仿宋" w:eastAsia="仿宋" w:hAnsi="仿宋" w:cs="仿宋"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1D7F6F1B"/>
    <w:multiLevelType w:val="singleLevel"/>
    <w:tmpl w:val="E3E66B5E"/>
    <w:lvl w:ilvl="0">
      <w:start w:val="1"/>
      <w:numFmt w:val="decimal"/>
      <w:suff w:val="nothing"/>
      <w:lvlText w:val="（%1）"/>
      <w:lvlJc w:val="left"/>
      <w:pPr>
        <w:ind w:left="420" w:hanging="420"/>
      </w:pPr>
      <w:rPr>
        <w:rFonts w:hint="eastAsia"/>
      </w:rPr>
    </w:lvl>
  </w:abstractNum>
  <w:abstractNum w:abstractNumId="12" w15:restartNumberingAfterBreak="0">
    <w:nsid w:val="243F3295"/>
    <w:multiLevelType w:val="multilevel"/>
    <w:tmpl w:val="243F3295"/>
    <w:lvl w:ilvl="0">
      <w:start w:val="1"/>
      <w:numFmt w:val="decimal"/>
      <w:lvlText w:val="%1."/>
      <w:lvlJc w:val="left"/>
      <w:pPr>
        <w:ind w:left="1080" w:hanging="44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3" w15:restartNumberingAfterBreak="0">
    <w:nsid w:val="45013880"/>
    <w:multiLevelType w:val="multilevel"/>
    <w:tmpl w:val="45013880"/>
    <w:lvl w:ilvl="0">
      <w:start w:val="1"/>
      <w:numFmt w:val="decimal"/>
      <w:lvlText w:val="%1."/>
      <w:lvlJc w:val="left"/>
      <w:pPr>
        <w:ind w:left="425" w:hanging="425"/>
      </w:pPr>
      <w:rPr>
        <w:rFonts w:ascii="仿宋" w:eastAsia="仿宋" w:hAnsi="仿宋" w:cs="Times New Roman" w:hint="default"/>
        <w:sz w:val="32"/>
        <w:szCs w:val="3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9CE7C6E"/>
    <w:multiLevelType w:val="multilevel"/>
    <w:tmpl w:val="33B4CE2C"/>
    <w:lvl w:ilvl="0">
      <w:start w:val="1"/>
      <w:numFmt w:val="decimal"/>
      <w:pStyle w:val="a"/>
      <w:suff w:val="nothing"/>
      <w:lvlText w:val="（%1）"/>
      <w:lvlJc w:val="left"/>
      <w:pPr>
        <w:ind w:left="1076" w:hanging="440"/>
      </w:pPr>
      <w:rPr>
        <w:rFonts w:hint="default"/>
      </w:r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abstractNum w:abstractNumId="15" w15:restartNumberingAfterBreak="0">
    <w:nsid w:val="68695409"/>
    <w:multiLevelType w:val="singleLevel"/>
    <w:tmpl w:val="11207244"/>
    <w:lvl w:ilvl="0">
      <w:start w:val="1"/>
      <w:numFmt w:val="decimal"/>
      <w:suff w:val="nothing"/>
      <w:lvlText w:val="（%1）"/>
      <w:lvlJc w:val="left"/>
      <w:pPr>
        <w:ind w:left="425" w:hanging="425"/>
      </w:pPr>
      <w:rPr>
        <w:rFonts w:hint="default"/>
      </w:rPr>
    </w:lvl>
  </w:abstractNum>
  <w:abstractNum w:abstractNumId="16" w15:restartNumberingAfterBreak="0">
    <w:nsid w:val="78175A20"/>
    <w:multiLevelType w:val="multilevel"/>
    <w:tmpl w:val="78175A20"/>
    <w:lvl w:ilvl="0">
      <w:start w:val="1"/>
      <w:numFmt w:val="decimal"/>
      <w:lvlText w:val="%1."/>
      <w:lvlJc w:val="left"/>
      <w:pPr>
        <w:ind w:left="1076" w:hanging="440"/>
      </w:pPr>
      <w:rPr>
        <w:rFonts w:ascii="仿宋" w:eastAsia="仿宋" w:hAnsi="仿宋"/>
        <w:sz w:val="32"/>
        <w:szCs w:val="32"/>
      </w:r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num w:numId="1">
    <w:abstractNumId w:val="12"/>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6"/>
  </w:num>
  <w:num w:numId="10">
    <w:abstractNumId w:val="11"/>
  </w:num>
  <w:num w:numId="11">
    <w:abstractNumId w:val="1"/>
  </w:num>
  <w:num w:numId="12">
    <w:abstractNumId w:val="15"/>
  </w:num>
  <w:num w:numId="13">
    <w:abstractNumId w:val="4"/>
  </w:num>
  <w:num w:numId="14">
    <w:abstractNumId w:val="13"/>
  </w:num>
  <w:num w:numId="15">
    <w:abstractNumId w:val="9"/>
  </w:num>
  <w:num w:numId="16">
    <w:abstractNumId w:val="3"/>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YzhkY2FiOTA5MjkyZjIyMDg5Y2JjZGU5MTJjNzYifQ=="/>
  </w:docVars>
  <w:rsids>
    <w:rsidRoot w:val="0030592D"/>
    <w:rsid w:val="00017574"/>
    <w:rsid w:val="00081023"/>
    <w:rsid w:val="00121483"/>
    <w:rsid w:val="00152C33"/>
    <w:rsid w:val="001E674C"/>
    <w:rsid w:val="002710B6"/>
    <w:rsid w:val="002864F4"/>
    <w:rsid w:val="002F4DF3"/>
    <w:rsid w:val="0030592D"/>
    <w:rsid w:val="00353605"/>
    <w:rsid w:val="00367C08"/>
    <w:rsid w:val="0043169F"/>
    <w:rsid w:val="00575CB2"/>
    <w:rsid w:val="00617FDF"/>
    <w:rsid w:val="006324EA"/>
    <w:rsid w:val="006521BF"/>
    <w:rsid w:val="006D7C42"/>
    <w:rsid w:val="00834444"/>
    <w:rsid w:val="008A034B"/>
    <w:rsid w:val="009A0720"/>
    <w:rsid w:val="00A762FC"/>
    <w:rsid w:val="00B54D3E"/>
    <w:rsid w:val="00B67F61"/>
    <w:rsid w:val="00CB246F"/>
    <w:rsid w:val="00CE0103"/>
    <w:rsid w:val="00E0011B"/>
    <w:rsid w:val="00E83F59"/>
    <w:rsid w:val="00F608B5"/>
    <w:rsid w:val="06E9382E"/>
    <w:rsid w:val="0EB85530"/>
    <w:rsid w:val="11475CF8"/>
    <w:rsid w:val="125D501A"/>
    <w:rsid w:val="166F55EB"/>
    <w:rsid w:val="1C057273"/>
    <w:rsid w:val="1D0F74FF"/>
    <w:rsid w:val="237378F3"/>
    <w:rsid w:val="26E65BD0"/>
    <w:rsid w:val="28A90588"/>
    <w:rsid w:val="2A403D53"/>
    <w:rsid w:val="2DD942B7"/>
    <w:rsid w:val="2EAC27FC"/>
    <w:rsid w:val="356700AB"/>
    <w:rsid w:val="3D4A5D2C"/>
    <w:rsid w:val="3D7770BC"/>
    <w:rsid w:val="40D7683D"/>
    <w:rsid w:val="57C916B2"/>
    <w:rsid w:val="57DB56AE"/>
    <w:rsid w:val="60116E89"/>
    <w:rsid w:val="630223A7"/>
    <w:rsid w:val="64761FDF"/>
    <w:rsid w:val="659B022A"/>
    <w:rsid w:val="69651CC1"/>
    <w:rsid w:val="6DC179B5"/>
    <w:rsid w:val="738D6E66"/>
    <w:rsid w:val="795A0D53"/>
    <w:rsid w:val="7A5A179E"/>
    <w:rsid w:val="7AB44356"/>
    <w:rsid w:val="7DBC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E9623"/>
  <w15:docId w15:val="{1EFA08B9-9970-46D4-AA7C-2AA1F355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宋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Body Text"/>
    <w:basedOn w:val="a0"/>
    <w:uiPriority w:val="1"/>
    <w:qFormat/>
    <w:pPr>
      <w:spacing w:after="120"/>
    </w:p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rsid w:val="00CE0103"/>
    <w:pPr>
      <w:numPr>
        <w:numId w:val="7"/>
      </w:numPr>
      <w:tabs>
        <w:tab w:val="left" w:pos="1050"/>
      </w:tabs>
      <w:adjustRightInd w:val="0"/>
      <w:snapToGrid w:val="0"/>
      <w:spacing w:line="360" w:lineRule="auto"/>
    </w:pPr>
    <w:rPr>
      <w:rFonts w:ascii="仿宋" w:eastAsia="仿宋" w:hAnsi="仿宋"/>
      <w:sz w:val="32"/>
      <w:szCs w:val="32"/>
    </w:rPr>
  </w:style>
  <w:style w:type="paragraph" w:customStyle="1" w:styleId="1">
    <w:name w:val="修订1"/>
    <w:hidden/>
    <w:uiPriority w:val="99"/>
    <w:unhideWhenUsed/>
    <w:qFormat/>
    <w:rPr>
      <w:rFonts w:cs="宋体"/>
      <w:kern w:val="2"/>
      <w:sz w:val="21"/>
      <w:szCs w:val="24"/>
    </w:rPr>
  </w:style>
  <w:style w:type="paragraph" w:customStyle="1" w:styleId="2">
    <w:name w:val="修订2"/>
    <w:hidden/>
    <w:uiPriority w:val="99"/>
    <w:unhideWhenUsed/>
    <w:qFormat/>
    <w:rPr>
      <w:rFonts w:cs="宋体"/>
      <w:kern w:val="2"/>
      <w:sz w:val="21"/>
      <w:szCs w:val="24"/>
    </w:rPr>
  </w:style>
  <w:style w:type="paragraph" w:styleId="a7">
    <w:name w:val="header"/>
    <w:basedOn w:val="a0"/>
    <w:link w:val="a8"/>
    <w:rsid w:val="00F608B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F608B5"/>
    <w:rPr>
      <w:rFonts w:cs="宋体"/>
      <w:kern w:val="2"/>
      <w:sz w:val="18"/>
      <w:szCs w:val="18"/>
    </w:rPr>
  </w:style>
  <w:style w:type="paragraph" w:styleId="a9">
    <w:name w:val="footer"/>
    <w:basedOn w:val="a0"/>
    <w:link w:val="aa"/>
    <w:uiPriority w:val="99"/>
    <w:rsid w:val="00F608B5"/>
    <w:pPr>
      <w:tabs>
        <w:tab w:val="center" w:pos="4153"/>
        <w:tab w:val="right" w:pos="8306"/>
      </w:tabs>
      <w:snapToGrid w:val="0"/>
      <w:jc w:val="left"/>
    </w:pPr>
    <w:rPr>
      <w:sz w:val="18"/>
      <w:szCs w:val="18"/>
    </w:rPr>
  </w:style>
  <w:style w:type="character" w:customStyle="1" w:styleId="aa">
    <w:name w:val="页脚 字符"/>
    <w:basedOn w:val="a1"/>
    <w:link w:val="a9"/>
    <w:uiPriority w:val="99"/>
    <w:rsid w:val="00F608B5"/>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38043</dc:creator>
  <cp:lastModifiedBy>庞瑞卿</cp:lastModifiedBy>
  <cp:revision>13</cp:revision>
  <dcterms:created xsi:type="dcterms:W3CDTF">2024-10-28T09:55:00Z</dcterms:created>
  <dcterms:modified xsi:type="dcterms:W3CDTF">2024-12-27T12:27:00Z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6C2D84B1F3B541E9BD3E0633E837DEA2_12</vt:lpwstr>
  </property>
</Properties>
</file>