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A22514" w14:textId="77777777" w:rsidR="002F32D3" w:rsidRDefault="00753E37">
      <w:pPr>
        <w:spacing w:beforeLines="50" w:before="156" w:afterLines="100" w:after="312" w:line="360" w:lineRule="auto"/>
        <w:outlineLvl w:val="0"/>
        <w:rPr>
          <w:rFonts w:ascii="黑体" w:eastAsia="黑体" w:hAnsi="黑体"/>
          <w:sz w:val="32"/>
          <w:szCs w:val="32"/>
        </w:rPr>
      </w:pPr>
      <w:bookmarkStart w:id="0" w:name="_Toc14665"/>
      <w:bookmarkStart w:id="1" w:name="_Toc12151"/>
      <w:bookmarkStart w:id="2" w:name="_Toc9577"/>
      <w:bookmarkStart w:id="3" w:name="_Toc3608"/>
      <w:bookmarkStart w:id="4" w:name="_Toc7425"/>
      <w:bookmarkStart w:id="5" w:name="_Toc393"/>
      <w:bookmarkStart w:id="6" w:name="_Toc24698"/>
      <w:bookmarkStart w:id="7" w:name="_Toc21448"/>
      <w:bookmarkStart w:id="8" w:name="_Toc2981"/>
      <w:bookmarkStart w:id="9" w:name="_Toc23218"/>
      <w:bookmarkStart w:id="10" w:name="_Toc17144"/>
      <w:bookmarkStart w:id="11" w:name="_Toc623"/>
      <w:bookmarkStart w:id="12" w:name="_Toc20159"/>
      <w:bookmarkStart w:id="13" w:name="_Toc18170"/>
      <w:r>
        <w:rPr>
          <w:rFonts w:ascii="黑体" w:eastAsia="黑体" w:hAnsi="黑体" w:hint="eastAsia"/>
          <w:sz w:val="32"/>
          <w:szCs w:val="32"/>
        </w:rPr>
        <w:t>附录3:</w:t>
      </w:r>
      <w:bookmarkEnd w:id="0"/>
      <w:bookmarkEnd w:id="1"/>
      <w:bookmarkEnd w:id="2"/>
      <w:bookmarkEnd w:id="3"/>
      <w:bookmarkEnd w:id="4"/>
      <w:bookmarkEnd w:id="5"/>
      <w:bookmarkEnd w:id="6"/>
      <w:bookmarkEnd w:id="7"/>
      <w:bookmarkEnd w:id="8"/>
      <w:bookmarkEnd w:id="9"/>
      <w:bookmarkEnd w:id="10"/>
      <w:bookmarkEnd w:id="11"/>
      <w:bookmarkEnd w:id="12"/>
      <w:bookmarkEnd w:id="13"/>
    </w:p>
    <w:p w14:paraId="44752265" w14:textId="77777777" w:rsidR="002F32D3" w:rsidRDefault="00753E37">
      <w:pPr>
        <w:spacing w:beforeLines="50" w:before="156" w:afterLines="100" w:after="312" w:line="360" w:lineRule="auto"/>
        <w:jc w:val="center"/>
        <w:outlineLvl w:val="1"/>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控制系统检查要点</w:t>
      </w:r>
    </w:p>
    <w:p w14:paraId="2D2CD7AD" w14:textId="77777777" w:rsidR="002F32D3" w:rsidRDefault="00753E37">
      <w:pPr>
        <w:pStyle w:val="a"/>
        <w:numPr>
          <w:ilvl w:val="0"/>
          <w:numId w:val="0"/>
        </w:numPr>
        <w:spacing w:line="360" w:lineRule="auto"/>
        <w:jc w:val="center"/>
        <w:outlineLvl w:val="0"/>
        <w:rPr>
          <w:rFonts w:ascii="黑体" w:eastAsia="黑体" w:hAnsi="黑体"/>
          <w:sz w:val="36"/>
          <w:szCs w:val="36"/>
        </w:rPr>
      </w:pPr>
      <w:bookmarkStart w:id="14" w:name="_Toc21460"/>
      <w:bookmarkStart w:id="15" w:name="_Toc19511"/>
      <w:bookmarkStart w:id="16" w:name="_Toc4798"/>
      <w:bookmarkStart w:id="17" w:name="_Toc31577"/>
      <w:bookmarkStart w:id="18" w:name="_Toc19266"/>
      <w:bookmarkStart w:id="19" w:name="_Toc8020"/>
      <w:bookmarkStart w:id="20" w:name="_Toc693"/>
      <w:bookmarkStart w:id="21" w:name="_Toc25505"/>
      <w:bookmarkStart w:id="22" w:name="_Toc2373"/>
      <w:bookmarkStart w:id="23" w:name="_Toc2091"/>
      <w:bookmarkStart w:id="24" w:name="_Toc13074"/>
      <w:bookmarkStart w:id="25" w:name="_Toc32084"/>
      <w:bookmarkStart w:id="26" w:name="_Toc28800"/>
      <w:bookmarkStart w:id="27" w:name="_Toc6406"/>
      <w:r>
        <w:rPr>
          <w:rFonts w:ascii="黑体" w:eastAsia="黑体" w:hAnsi="黑体" w:hint="eastAsia"/>
          <w:sz w:val="36"/>
          <w:szCs w:val="36"/>
        </w:rPr>
        <w:t>第三章 治疗控制系统</w:t>
      </w:r>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2C5AD181" w14:textId="3DCF3A89" w:rsidR="002F32D3" w:rsidRPr="007A480B" w:rsidRDefault="007A480B" w:rsidP="007A480B">
      <w:pPr>
        <w:pStyle w:val="40"/>
        <w:spacing w:before="0" w:line="360" w:lineRule="auto"/>
        <w:ind w:left="958" w:hanging="238"/>
        <w:rPr>
          <w:sz w:val="36"/>
          <w:szCs w:val="36"/>
        </w:rPr>
      </w:pPr>
      <w:r w:rsidRPr="007A480B">
        <w:rPr>
          <w:rFonts w:hint="eastAsia"/>
          <w:sz w:val="36"/>
          <w:szCs w:val="36"/>
        </w:rPr>
        <w:t>（征求</w:t>
      </w:r>
      <w:r w:rsidRPr="007A480B">
        <w:rPr>
          <w:sz w:val="36"/>
          <w:szCs w:val="36"/>
        </w:rPr>
        <w:t>意见稿</w:t>
      </w:r>
      <w:r w:rsidRPr="007A480B">
        <w:rPr>
          <w:rFonts w:hint="eastAsia"/>
          <w:sz w:val="36"/>
          <w:szCs w:val="36"/>
        </w:rPr>
        <w:t>）</w:t>
      </w:r>
    </w:p>
    <w:p w14:paraId="33240A8B" w14:textId="77777777" w:rsidR="002F32D3" w:rsidRDefault="00753E37">
      <w:pPr>
        <w:spacing w:line="360" w:lineRule="auto"/>
        <w:outlineLvl w:val="1"/>
        <w:rPr>
          <w:rFonts w:ascii="黑体" w:eastAsia="黑体" w:hAnsi="黑体" w:cs="黑体"/>
          <w:sz w:val="32"/>
          <w:szCs w:val="32"/>
        </w:rPr>
      </w:pPr>
      <w:bookmarkStart w:id="28" w:name="_Toc6395"/>
      <w:bookmarkStart w:id="29" w:name="_Toc23719"/>
      <w:bookmarkStart w:id="30" w:name="_Toc24355"/>
      <w:bookmarkStart w:id="31" w:name="_Toc22314"/>
      <w:bookmarkStart w:id="32" w:name="_Toc32741"/>
      <w:bookmarkStart w:id="33" w:name="_Toc3732"/>
      <w:bookmarkStart w:id="34" w:name="_Toc23466"/>
      <w:bookmarkStart w:id="35" w:name="_Toc1285"/>
      <w:bookmarkStart w:id="36" w:name="_Toc4484"/>
      <w:bookmarkStart w:id="37" w:name="_Toc5602"/>
      <w:bookmarkStart w:id="38" w:name="_Toc7221"/>
      <w:bookmarkStart w:id="39" w:name="_Toc17666"/>
      <w:bookmarkStart w:id="40" w:name="_Toc26226"/>
      <w:bookmarkStart w:id="41" w:name="_Toc5123"/>
      <w:r>
        <w:rPr>
          <w:rFonts w:ascii="黑体" w:eastAsia="黑体" w:hAnsi="黑体" w:cs="黑体" w:hint="eastAsia"/>
          <w:sz w:val="32"/>
          <w:szCs w:val="32"/>
        </w:rPr>
        <w:t>一、产品介绍</w:t>
      </w:r>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08B557AF" w14:textId="77777777" w:rsidR="002F32D3" w:rsidRDefault="00753E37">
      <w:pPr>
        <w:spacing w:line="360" w:lineRule="auto"/>
        <w:ind w:firstLineChars="200" w:firstLine="640"/>
        <w:outlineLvl w:val="2"/>
        <w:rPr>
          <w:rFonts w:ascii="楷体" w:eastAsia="楷体" w:hAnsi="楷体" w:cs="楷体"/>
          <w:sz w:val="32"/>
          <w:szCs w:val="32"/>
        </w:rPr>
      </w:pPr>
      <w:bookmarkStart w:id="42" w:name="_Toc30911"/>
      <w:bookmarkStart w:id="43" w:name="_Toc31355"/>
      <w:bookmarkStart w:id="44" w:name="_Toc21222"/>
      <w:bookmarkStart w:id="45" w:name="_Toc7683"/>
      <w:bookmarkStart w:id="46" w:name="_Toc10815"/>
      <w:bookmarkStart w:id="47" w:name="_Toc19088"/>
      <w:bookmarkStart w:id="48" w:name="_Toc3824"/>
      <w:bookmarkStart w:id="49" w:name="_Toc6676"/>
      <w:bookmarkStart w:id="50" w:name="_Toc1080"/>
      <w:bookmarkStart w:id="51" w:name="_Toc13530"/>
      <w:bookmarkStart w:id="52" w:name="_Toc15975"/>
      <w:bookmarkStart w:id="53" w:name="_Toc8950"/>
      <w:bookmarkStart w:id="54" w:name="_Toc22293"/>
      <w:bookmarkStart w:id="55" w:name="_Toc24568"/>
      <w:r>
        <w:rPr>
          <w:rFonts w:ascii="楷体" w:eastAsia="楷体" w:hAnsi="楷体" w:cs="楷体" w:hint="eastAsia"/>
          <w:sz w:val="32"/>
          <w:szCs w:val="32"/>
        </w:rPr>
        <w:t>（一）预期用途</w:t>
      </w:r>
      <w:bookmarkEnd w:id="42"/>
      <w:bookmarkEnd w:id="43"/>
      <w:bookmarkEnd w:id="44"/>
      <w:bookmarkEnd w:id="45"/>
      <w:bookmarkEnd w:id="46"/>
      <w:bookmarkEnd w:id="47"/>
      <w:bookmarkEnd w:id="48"/>
      <w:bookmarkEnd w:id="49"/>
      <w:bookmarkEnd w:id="50"/>
      <w:bookmarkEnd w:id="51"/>
      <w:bookmarkEnd w:id="52"/>
      <w:bookmarkEnd w:id="53"/>
      <w:bookmarkEnd w:id="54"/>
      <w:bookmarkEnd w:id="55"/>
    </w:p>
    <w:p w14:paraId="2FF1783E"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治疗控制系统部署在每个治疗室配置的终端电脑中，单机独立运行，按预设配置信息访问数据接口，获取当次治疗计划，显示病人信息、治疗计划等信息，查看各治疗室实时监控、治疗设备状态，执行摆位、申请束流、照射、记录等流程，操作控制治疗床等设备，所有信息达到预设条件后，控制加速器实施患者辐照，辐照过程中展示实时治疗数据，显示设备联锁状态，记录治疗结果，辐照结束后归档治疗记录。</w:t>
      </w:r>
    </w:p>
    <w:p w14:paraId="5D9EA7AE" w14:textId="77777777" w:rsidR="002F32D3" w:rsidRDefault="00753E37">
      <w:pPr>
        <w:spacing w:line="360" w:lineRule="auto"/>
        <w:ind w:firstLineChars="200" w:firstLine="640"/>
        <w:outlineLvl w:val="2"/>
        <w:rPr>
          <w:rFonts w:ascii="楷体" w:eastAsia="楷体" w:hAnsi="楷体" w:cs="楷体"/>
          <w:sz w:val="32"/>
          <w:szCs w:val="32"/>
        </w:rPr>
      </w:pPr>
      <w:bookmarkStart w:id="56" w:name="_Toc17629"/>
      <w:bookmarkStart w:id="57" w:name="_Toc30569"/>
      <w:bookmarkStart w:id="58" w:name="_Toc15570"/>
      <w:bookmarkStart w:id="59" w:name="_Toc13310"/>
      <w:bookmarkStart w:id="60" w:name="_Toc18112"/>
      <w:bookmarkStart w:id="61" w:name="_Toc11863"/>
      <w:bookmarkStart w:id="62" w:name="_Toc16054"/>
      <w:bookmarkStart w:id="63" w:name="_Toc5998"/>
      <w:bookmarkStart w:id="64" w:name="_Toc27942"/>
      <w:bookmarkStart w:id="65" w:name="_Toc18971"/>
      <w:bookmarkStart w:id="66" w:name="_Toc29828"/>
      <w:bookmarkStart w:id="67" w:name="_Toc14783"/>
      <w:bookmarkStart w:id="68" w:name="_Toc13967"/>
      <w:bookmarkStart w:id="69" w:name="_Toc14946"/>
      <w:r>
        <w:rPr>
          <w:rFonts w:ascii="楷体" w:eastAsia="楷体" w:hAnsi="楷体" w:cs="楷体" w:hint="eastAsia"/>
          <w:sz w:val="32"/>
          <w:szCs w:val="32"/>
        </w:rPr>
        <w:t>（二）工作原理</w:t>
      </w:r>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2A93B127"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治疗控制系统负责引导临床用户执行治疗工作流程，负责不同子系统之间数据交换和协同，同时将必要的数据显示给临床用户。治疗结束后，治疗控制系统通过肿瘤信息系统将照射参数记录下来。如果治疗照射中断，临床用户可以在适当的时候选择恢复执行部分治疗分次。</w:t>
      </w:r>
    </w:p>
    <w:p w14:paraId="396D4FC8"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lastRenderedPageBreak/>
        <w:t>用户可以通过治疗控制系统实现以下功能：</w:t>
      </w:r>
    </w:p>
    <w:p w14:paraId="319A80ED" w14:textId="77777777" w:rsidR="002F32D3" w:rsidRDefault="00753E37">
      <w:pPr>
        <w:numPr>
          <w:ilvl w:val="0"/>
          <w:numId w:val="2"/>
        </w:num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从肿瘤信息系统载入放射治疗计划并且浏览计划内容；</w:t>
      </w:r>
    </w:p>
    <w:p w14:paraId="0F50D2B3" w14:textId="77777777" w:rsidR="002F32D3" w:rsidRDefault="00753E37">
      <w:pPr>
        <w:numPr>
          <w:ilvl w:val="0"/>
          <w:numId w:val="2"/>
        </w:num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固定和定位肿瘤患者；</w:t>
      </w:r>
    </w:p>
    <w:p w14:paraId="2AAFE543" w14:textId="77777777" w:rsidR="002F32D3" w:rsidRDefault="00753E37">
      <w:pPr>
        <w:numPr>
          <w:ilvl w:val="0"/>
          <w:numId w:val="2"/>
        </w:num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放射治疗之前检查摆位参数；</w:t>
      </w:r>
    </w:p>
    <w:p w14:paraId="38FAF2B6" w14:textId="77777777" w:rsidR="002F32D3" w:rsidRDefault="00753E37">
      <w:pPr>
        <w:numPr>
          <w:ilvl w:val="0"/>
          <w:numId w:val="2"/>
        </w:num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请求加速器提供符合治疗要求的束流；</w:t>
      </w:r>
    </w:p>
    <w:p w14:paraId="0E3E12E0" w14:textId="77777777" w:rsidR="002F32D3" w:rsidRDefault="00753E37">
      <w:pPr>
        <w:numPr>
          <w:ilvl w:val="0"/>
          <w:numId w:val="2"/>
        </w:num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准备患者放射治疗照射、启动照射、中断辐照、终止辐照、继续辐照；</w:t>
      </w:r>
    </w:p>
    <w:p w14:paraId="7E66DE48" w14:textId="77777777" w:rsidR="002F32D3" w:rsidRDefault="00753E37">
      <w:pPr>
        <w:numPr>
          <w:ilvl w:val="0"/>
          <w:numId w:val="2"/>
        </w:num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显示治疗照射中采集的数据；</w:t>
      </w:r>
    </w:p>
    <w:p w14:paraId="4B6A783A" w14:textId="77777777" w:rsidR="002F32D3" w:rsidRDefault="00753E37">
      <w:pPr>
        <w:numPr>
          <w:ilvl w:val="0"/>
          <w:numId w:val="2"/>
        </w:num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记录治疗过程，处理中断的放射记录分次放射。</w:t>
      </w:r>
    </w:p>
    <w:p w14:paraId="4E931D84" w14:textId="77777777" w:rsidR="002F32D3" w:rsidRDefault="00753E37">
      <w:pPr>
        <w:spacing w:line="360" w:lineRule="auto"/>
        <w:ind w:firstLineChars="200" w:firstLine="640"/>
        <w:outlineLvl w:val="2"/>
        <w:rPr>
          <w:rFonts w:ascii="楷体" w:eastAsia="楷体" w:hAnsi="楷体" w:cs="楷体"/>
          <w:sz w:val="32"/>
          <w:szCs w:val="32"/>
        </w:rPr>
      </w:pPr>
      <w:bookmarkStart w:id="70" w:name="_Toc26745"/>
      <w:bookmarkStart w:id="71" w:name="_Toc11919"/>
      <w:bookmarkStart w:id="72" w:name="_Toc19609"/>
      <w:bookmarkStart w:id="73" w:name="_Toc7542"/>
      <w:bookmarkStart w:id="74" w:name="_Toc17253"/>
      <w:bookmarkStart w:id="75" w:name="_Toc4743"/>
      <w:bookmarkStart w:id="76" w:name="_Toc3564"/>
      <w:bookmarkStart w:id="77" w:name="_Toc1284"/>
      <w:bookmarkStart w:id="78" w:name="_Toc9947"/>
      <w:bookmarkStart w:id="79" w:name="_Toc18315"/>
      <w:bookmarkStart w:id="80" w:name="_Toc3108"/>
      <w:bookmarkStart w:id="81" w:name="_Toc9602"/>
      <w:bookmarkStart w:id="82" w:name="_Toc30797"/>
      <w:bookmarkStart w:id="83" w:name="_Toc30827"/>
      <w:r>
        <w:rPr>
          <w:rFonts w:ascii="楷体" w:eastAsia="楷体" w:hAnsi="楷体" w:cs="楷体" w:hint="eastAsia"/>
          <w:sz w:val="32"/>
          <w:szCs w:val="32"/>
        </w:rPr>
        <w:t>（三）结构组成</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7CE01FA0" w14:textId="77777777" w:rsidR="002F32D3" w:rsidRDefault="00753E37">
      <w:pPr>
        <w:spacing w:line="360" w:lineRule="auto"/>
        <w:ind w:firstLineChars="200" w:firstLine="640"/>
        <w:rPr>
          <w:rFonts w:ascii="仿宋" w:eastAsia="仿宋" w:hAnsi="仿宋" w:cs="仿宋"/>
          <w:sz w:val="32"/>
          <w:szCs w:val="32"/>
        </w:rPr>
      </w:pPr>
      <w:r>
        <w:rPr>
          <w:rFonts w:ascii="仿宋" w:eastAsia="仿宋" w:hAnsi="仿宋" w:cs="仿宋" w:hint="eastAsia"/>
          <w:color w:val="000000"/>
          <w:sz w:val="32"/>
          <w:szCs w:val="28"/>
        </w:rPr>
        <w:t>治疗控制系统软件结构模块通常包括信息管理（用户登录、摆位计划推送、照射计划推送、摆位验证、实时照射数据、照射报告提交）、图像引导定位+呼吸运动管理治疗室（启动定位、定位结果、定位完成、启动呼吸运动跟踪）、照射控制（照射计划推送、实时照射数据、运行指令）、治疗床调整（摆位调整、运动状态、摆位结果）、机架调整（机架调整、运动状态、机架结果）、治疗流程（束流申请、启动照射、照射报告提交、计划获取、摆位调整、束流申请、启动照射、照射报告）。</w:t>
      </w:r>
    </w:p>
    <w:p w14:paraId="3D2A32B0" w14:textId="77777777" w:rsidR="002F32D3" w:rsidRDefault="00753E37">
      <w:pPr>
        <w:numPr>
          <w:ilvl w:val="0"/>
          <w:numId w:val="3"/>
        </w:numPr>
        <w:spacing w:line="360" w:lineRule="auto"/>
        <w:outlineLvl w:val="1"/>
        <w:rPr>
          <w:rFonts w:ascii="黑体" w:eastAsia="黑体" w:hAnsi="黑体" w:cs="黑体"/>
          <w:sz w:val="32"/>
          <w:szCs w:val="32"/>
        </w:rPr>
      </w:pPr>
      <w:r>
        <w:rPr>
          <w:rFonts w:ascii="黑体" w:eastAsia="黑体" w:hAnsi="黑体" w:cs="黑体" w:hint="eastAsia"/>
          <w:sz w:val="32"/>
          <w:szCs w:val="32"/>
        </w:rPr>
        <w:t>主要技术指标</w:t>
      </w:r>
    </w:p>
    <w:tbl>
      <w:tblPr>
        <w:tblStyle w:val="a5"/>
        <w:tblW w:w="9126" w:type="dxa"/>
        <w:jc w:val="center"/>
        <w:tblLook w:val="04A0" w:firstRow="1" w:lastRow="0" w:firstColumn="1" w:lastColumn="0" w:noHBand="0" w:noVBand="1"/>
      </w:tblPr>
      <w:tblGrid>
        <w:gridCol w:w="794"/>
        <w:gridCol w:w="1847"/>
        <w:gridCol w:w="4090"/>
        <w:gridCol w:w="2395"/>
      </w:tblGrid>
      <w:tr w:rsidR="002F32D3" w14:paraId="4301CBBD" w14:textId="77777777">
        <w:trPr>
          <w:tblHeader/>
          <w:jc w:val="center"/>
        </w:trPr>
        <w:tc>
          <w:tcPr>
            <w:tcW w:w="794" w:type="dxa"/>
            <w:vAlign w:val="center"/>
          </w:tcPr>
          <w:p w14:paraId="41C4C794" w14:textId="77777777" w:rsidR="002F32D3" w:rsidRDefault="00753E37">
            <w:pPr>
              <w:autoSpaceDE w:val="0"/>
              <w:autoSpaceDN w:val="0"/>
              <w:spacing w:line="360" w:lineRule="auto"/>
              <w:ind w:rightChars="30" w:right="63"/>
              <w:jc w:val="center"/>
              <w:rPr>
                <w:rFonts w:ascii="仿宋_GB2312" w:eastAsia="仿宋_GB2312" w:hAnsi="Arial" w:cs="Arial"/>
                <w:b/>
                <w:bCs/>
                <w:sz w:val="24"/>
              </w:rPr>
            </w:pPr>
            <w:bookmarkStart w:id="84" w:name="OLE_LINK1"/>
            <w:r>
              <w:rPr>
                <w:rFonts w:ascii="仿宋_GB2312" w:eastAsia="仿宋_GB2312" w:hAnsi="Arial" w:cs="Arial" w:hint="eastAsia"/>
                <w:b/>
                <w:bCs/>
                <w:sz w:val="24"/>
              </w:rPr>
              <w:t>序号</w:t>
            </w:r>
          </w:p>
        </w:tc>
        <w:tc>
          <w:tcPr>
            <w:tcW w:w="1847" w:type="dxa"/>
            <w:vAlign w:val="center"/>
          </w:tcPr>
          <w:p w14:paraId="3529427F" w14:textId="77777777" w:rsidR="002F32D3" w:rsidRDefault="00753E37">
            <w:pPr>
              <w:autoSpaceDE w:val="0"/>
              <w:autoSpaceDN w:val="0"/>
              <w:spacing w:line="360" w:lineRule="auto"/>
              <w:ind w:rightChars="30" w:right="63"/>
              <w:jc w:val="center"/>
              <w:rPr>
                <w:rFonts w:ascii="仿宋_GB2312" w:eastAsia="仿宋_GB2312" w:hAnsi="Arial" w:cs="Arial"/>
                <w:b/>
                <w:bCs/>
                <w:sz w:val="24"/>
              </w:rPr>
            </w:pPr>
            <w:r>
              <w:rPr>
                <w:rFonts w:ascii="仿宋_GB2312" w:eastAsia="仿宋_GB2312" w:hAnsi="Arial" w:cs="Arial" w:hint="eastAsia"/>
                <w:b/>
                <w:bCs/>
                <w:sz w:val="24"/>
              </w:rPr>
              <w:t>检验项目</w:t>
            </w:r>
          </w:p>
        </w:tc>
        <w:tc>
          <w:tcPr>
            <w:tcW w:w="4090" w:type="dxa"/>
            <w:vAlign w:val="center"/>
          </w:tcPr>
          <w:p w14:paraId="0AE8DD41" w14:textId="77777777" w:rsidR="002F32D3" w:rsidRDefault="00753E37">
            <w:pPr>
              <w:autoSpaceDE w:val="0"/>
              <w:autoSpaceDN w:val="0"/>
              <w:spacing w:line="360" w:lineRule="auto"/>
              <w:ind w:rightChars="30" w:right="63"/>
              <w:jc w:val="center"/>
              <w:rPr>
                <w:rFonts w:ascii="仿宋_GB2312" w:eastAsia="仿宋_GB2312" w:hAnsi="Arial" w:cs="Arial"/>
                <w:b/>
                <w:bCs/>
                <w:sz w:val="24"/>
              </w:rPr>
            </w:pPr>
            <w:r>
              <w:rPr>
                <w:rFonts w:ascii="仿宋_GB2312" w:eastAsia="仿宋_GB2312" w:hAnsi="Arial" w:cs="Arial" w:hint="eastAsia"/>
                <w:b/>
                <w:bCs/>
                <w:sz w:val="24"/>
              </w:rPr>
              <w:t>主要控制指标</w:t>
            </w:r>
          </w:p>
        </w:tc>
        <w:tc>
          <w:tcPr>
            <w:tcW w:w="2395" w:type="dxa"/>
            <w:vAlign w:val="center"/>
          </w:tcPr>
          <w:p w14:paraId="7B85529C" w14:textId="77777777" w:rsidR="002F32D3" w:rsidRDefault="00753E37">
            <w:pPr>
              <w:autoSpaceDE w:val="0"/>
              <w:autoSpaceDN w:val="0"/>
              <w:spacing w:line="360" w:lineRule="auto"/>
              <w:ind w:rightChars="30" w:right="63"/>
              <w:jc w:val="center"/>
              <w:rPr>
                <w:rFonts w:ascii="仿宋_GB2312" w:eastAsia="仿宋_GB2312" w:hAnsi="Arial" w:cs="Arial"/>
                <w:b/>
                <w:bCs/>
                <w:sz w:val="24"/>
              </w:rPr>
            </w:pPr>
            <w:r>
              <w:rPr>
                <w:rFonts w:ascii="仿宋_GB2312" w:eastAsia="仿宋_GB2312" w:hAnsi="Arial" w:cs="Arial" w:hint="eastAsia"/>
                <w:b/>
                <w:bCs/>
                <w:sz w:val="24"/>
              </w:rPr>
              <w:t>检验方法</w:t>
            </w:r>
          </w:p>
        </w:tc>
      </w:tr>
      <w:tr w:rsidR="002F32D3" w14:paraId="62A44261" w14:textId="77777777">
        <w:trPr>
          <w:trHeight w:val="636"/>
          <w:jc w:val="center"/>
        </w:trPr>
        <w:tc>
          <w:tcPr>
            <w:tcW w:w="794" w:type="dxa"/>
            <w:vAlign w:val="center"/>
          </w:tcPr>
          <w:p w14:paraId="37B42AEE" w14:textId="77777777" w:rsidR="002F32D3" w:rsidRDefault="002F32D3">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5C371AB4" w14:textId="77777777" w:rsidR="002F32D3" w:rsidRDefault="00753E37">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软件环境</w:t>
            </w:r>
          </w:p>
        </w:tc>
        <w:tc>
          <w:tcPr>
            <w:tcW w:w="4090" w:type="dxa"/>
          </w:tcPr>
          <w:p w14:paraId="1BA8BF9F"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技术文件中应提供治疗控制系统运行环境，包括：服务端、客户端的软件环境和硬件环境及网络环境</w:t>
            </w:r>
          </w:p>
        </w:tc>
        <w:tc>
          <w:tcPr>
            <w:tcW w:w="2395" w:type="dxa"/>
            <w:vAlign w:val="center"/>
          </w:tcPr>
          <w:p w14:paraId="64EAB7E6"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按照企业制定的规程</w:t>
            </w:r>
          </w:p>
        </w:tc>
      </w:tr>
      <w:tr w:rsidR="002F32D3" w14:paraId="42D7CEC9" w14:textId="77777777">
        <w:trPr>
          <w:trHeight w:val="605"/>
          <w:jc w:val="center"/>
        </w:trPr>
        <w:tc>
          <w:tcPr>
            <w:tcW w:w="794" w:type="dxa"/>
            <w:vAlign w:val="center"/>
          </w:tcPr>
          <w:p w14:paraId="003E7DB0" w14:textId="77777777" w:rsidR="002F32D3" w:rsidRDefault="002F32D3">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1E00232B" w14:textId="77777777" w:rsidR="002F32D3" w:rsidRDefault="00753E37">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临床功能</w:t>
            </w:r>
          </w:p>
        </w:tc>
        <w:tc>
          <w:tcPr>
            <w:tcW w:w="4090" w:type="dxa"/>
            <w:vAlign w:val="center"/>
          </w:tcPr>
          <w:p w14:paraId="44FD1CF1"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技术文件中应提供治疗控制系统临床功能包括显示功能及患者治疗功能，显示功能包括</w:t>
            </w:r>
            <w:r>
              <w:rPr>
                <w:rFonts w:ascii="仿宋" w:eastAsia="仿宋" w:hAnsi="仿宋" w:hint="eastAsia"/>
                <w:sz w:val="24"/>
              </w:rPr>
              <w:t>显示治疗计划中的患者信息、治疗床和治疗头的位置信息，显示辐射剂量信息、剂量率信息、治疗状态和系统联锁状态；患者治疗功能包括启动照射、中断辐照、终止辐照、继续辐照、上传照射数据。</w:t>
            </w:r>
          </w:p>
        </w:tc>
        <w:tc>
          <w:tcPr>
            <w:tcW w:w="2395" w:type="dxa"/>
            <w:vAlign w:val="center"/>
          </w:tcPr>
          <w:p w14:paraId="6135E74D"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按照企业制定的规程</w:t>
            </w:r>
          </w:p>
          <w:p w14:paraId="6A9E092C" w14:textId="77777777" w:rsidR="002F32D3" w:rsidRDefault="002F32D3">
            <w:pPr>
              <w:autoSpaceDE w:val="0"/>
              <w:autoSpaceDN w:val="0"/>
              <w:spacing w:line="360" w:lineRule="auto"/>
              <w:rPr>
                <w:rFonts w:ascii="仿宋" w:eastAsia="仿宋" w:hAnsi="仿宋" w:cs="仿宋"/>
                <w:sz w:val="24"/>
              </w:rPr>
            </w:pPr>
          </w:p>
        </w:tc>
      </w:tr>
      <w:tr w:rsidR="002F32D3" w14:paraId="7341903B" w14:textId="77777777">
        <w:trPr>
          <w:trHeight w:val="636"/>
          <w:jc w:val="center"/>
        </w:trPr>
        <w:tc>
          <w:tcPr>
            <w:tcW w:w="794" w:type="dxa"/>
            <w:vAlign w:val="center"/>
          </w:tcPr>
          <w:p w14:paraId="059D365E" w14:textId="77777777" w:rsidR="002F32D3" w:rsidRDefault="002F32D3">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16193471" w14:textId="77777777" w:rsidR="002F32D3" w:rsidRDefault="00753E37">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使用限制</w:t>
            </w:r>
          </w:p>
        </w:tc>
        <w:tc>
          <w:tcPr>
            <w:tcW w:w="4090" w:type="dxa"/>
            <w:vAlign w:val="center"/>
          </w:tcPr>
          <w:p w14:paraId="6D83799C"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技术文件中应提供治疗控制系统用户使用限制</w:t>
            </w:r>
          </w:p>
        </w:tc>
        <w:tc>
          <w:tcPr>
            <w:tcW w:w="2395" w:type="dxa"/>
            <w:vAlign w:val="center"/>
          </w:tcPr>
          <w:p w14:paraId="47125267" w14:textId="77777777" w:rsidR="002F32D3" w:rsidRDefault="00753E37">
            <w:pPr>
              <w:autoSpaceDE w:val="0"/>
              <w:autoSpaceDN w:val="0"/>
              <w:spacing w:line="360" w:lineRule="auto"/>
              <w:rPr>
                <w:rFonts w:ascii="仿宋_GB2312" w:eastAsia="仿宋_GB2312" w:hAnsi="仿宋" w:cs="仿宋"/>
                <w:sz w:val="24"/>
              </w:rPr>
            </w:pPr>
            <w:r>
              <w:rPr>
                <w:rFonts w:ascii="仿宋_GB2312" w:eastAsia="仿宋_GB2312" w:hAnsi="仿宋" w:cs="仿宋" w:hint="eastAsia"/>
                <w:sz w:val="24"/>
              </w:rPr>
              <w:t>按照企业制定的规程</w:t>
            </w:r>
          </w:p>
        </w:tc>
      </w:tr>
      <w:tr w:rsidR="002F32D3" w14:paraId="75E5ADB0" w14:textId="77777777">
        <w:trPr>
          <w:trHeight w:val="586"/>
          <w:jc w:val="center"/>
        </w:trPr>
        <w:tc>
          <w:tcPr>
            <w:tcW w:w="794" w:type="dxa"/>
            <w:vAlign w:val="center"/>
          </w:tcPr>
          <w:p w14:paraId="58738630" w14:textId="77777777" w:rsidR="002F32D3" w:rsidRDefault="002F32D3">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23E7DD88" w14:textId="77777777" w:rsidR="002F32D3" w:rsidRDefault="00753E37">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数据接口</w:t>
            </w:r>
          </w:p>
        </w:tc>
        <w:tc>
          <w:tcPr>
            <w:tcW w:w="4090" w:type="dxa"/>
            <w:vAlign w:val="center"/>
          </w:tcPr>
          <w:p w14:paraId="505AAEF0"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技术文件中应提供治疗控制系统数据交互接口，</w:t>
            </w:r>
            <w:r>
              <w:rPr>
                <w:rFonts w:ascii="仿宋" w:eastAsia="仿宋" w:hAnsi="仿宋" w:hint="eastAsia"/>
                <w:sz w:val="24"/>
              </w:rPr>
              <w:t>支持通过配置参数与肿瘤信息管理系统、图像引导系统、视频监控系统、照射控制系统、 患者定位系统、加速器控制系统连接。</w:t>
            </w:r>
          </w:p>
        </w:tc>
        <w:tc>
          <w:tcPr>
            <w:tcW w:w="2395" w:type="dxa"/>
            <w:vAlign w:val="center"/>
          </w:tcPr>
          <w:p w14:paraId="61F30697" w14:textId="77777777" w:rsidR="002F32D3" w:rsidRDefault="00753E37">
            <w:pPr>
              <w:autoSpaceDE w:val="0"/>
              <w:autoSpaceDN w:val="0"/>
              <w:spacing w:line="360" w:lineRule="auto"/>
              <w:rPr>
                <w:rFonts w:ascii="仿宋_GB2312" w:eastAsia="仿宋_GB2312" w:hAnsi="仿宋" w:cs="仿宋"/>
                <w:sz w:val="24"/>
              </w:rPr>
            </w:pPr>
            <w:r>
              <w:rPr>
                <w:rFonts w:ascii="仿宋_GB2312" w:eastAsia="仿宋_GB2312" w:hAnsi="仿宋" w:cs="仿宋" w:hint="eastAsia"/>
                <w:sz w:val="24"/>
              </w:rPr>
              <w:t>按照企业制定的规程</w:t>
            </w:r>
          </w:p>
        </w:tc>
      </w:tr>
      <w:tr w:rsidR="002F32D3" w14:paraId="773754B6" w14:textId="77777777">
        <w:trPr>
          <w:trHeight w:val="556"/>
          <w:jc w:val="center"/>
        </w:trPr>
        <w:tc>
          <w:tcPr>
            <w:tcW w:w="794" w:type="dxa"/>
            <w:vAlign w:val="center"/>
          </w:tcPr>
          <w:p w14:paraId="67E502F8" w14:textId="77777777" w:rsidR="002F32D3" w:rsidRDefault="002F32D3">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27F3555D" w14:textId="77777777" w:rsidR="002F32D3" w:rsidRDefault="00753E37">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用户访问控制</w:t>
            </w:r>
          </w:p>
        </w:tc>
        <w:tc>
          <w:tcPr>
            <w:tcW w:w="4090" w:type="dxa"/>
            <w:vAlign w:val="center"/>
          </w:tcPr>
          <w:p w14:paraId="73DE394E"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技术文件中应提供治疗控制系统软件登录用户名和密码，以及用户权限区分</w:t>
            </w:r>
          </w:p>
        </w:tc>
        <w:tc>
          <w:tcPr>
            <w:tcW w:w="2395" w:type="dxa"/>
            <w:vAlign w:val="center"/>
          </w:tcPr>
          <w:p w14:paraId="0AB23DF3" w14:textId="77777777" w:rsidR="002F32D3" w:rsidRDefault="00753E37">
            <w:pPr>
              <w:autoSpaceDE w:val="0"/>
              <w:autoSpaceDN w:val="0"/>
              <w:spacing w:line="360" w:lineRule="auto"/>
              <w:rPr>
                <w:rFonts w:ascii="仿宋_GB2312" w:eastAsia="仿宋_GB2312" w:hAnsi="仿宋" w:cs="仿宋"/>
                <w:sz w:val="24"/>
              </w:rPr>
            </w:pPr>
            <w:r>
              <w:rPr>
                <w:rFonts w:ascii="仿宋_GB2312" w:eastAsia="仿宋_GB2312" w:hAnsi="仿宋" w:cs="仿宋" w:hint="eastAsia"/>
                <w:sz w:val="24"/>
              </w:rPr>
              <w:t>按照企业制定的规程</w:t>
            </w:r>
          </w:p>
        </w:tc>
      </w:tr>
      <w:tr w:rsidR="002F32D3" w14:paraId="19F68B79" w14:textId="77777777">
        <w:trPr>
          <w:trHeight w:val="636"/>
          <w:jc w:val="center"/>
        </w:trPr>
        <w:tc>
          <w:tcPr>
            <w:tcW w:w="794" w:type="dxa"/>
            <w:vAlign w:val="center"/>
          </w:tcPr>
          <w:p w14:paraId="72A11442" w14:textId="77777777" w:rsidR="002F32D3" w:rsidRDefault="002F32D3">
            <w:pPr>
              <w:numPr>
                <w:ilvl w:val="0"/>
                <w:numId w:val="4"/>
              </w:numPr>
              <w:autoSpaceDE w:val="0"/>
              <w:autoSpaceDN w:val="0"/>
              <w:spacing w:line="360" w:lineRule="auto"/>
              <w:ind w:firstLine="0"/>
              <w:jc w:val="center"/>
              <w:rPr>
                <w:rFonts w:ascii="仿宋_GB2312" w:eastAsia="仿宋_GB2312" w:hAnsi="仿宋_GB2312" w:cs="仿宋_GB2312"/>
                <w:sz w:val="24"/>
              </w:rPr>
            </w:pPr>
          </w:p>
        </w:tc>
        <w:tc>
          <w:tcPr>
            <w:tcW w:w="1847" w:type="dxa"/>
            <w:vAlign w:val="center"/>
          </w:tcPr>
          <w:p w14:paraId="2C2B4705" w14:textId="77777777" w:rsidR="002F32D3" w:rsidRDefault="00753E37">
            <w:pPr>
              <w:autoSpaceDE w:val="0"/>
              <w:autoSpaceDN w:val="0"/>
              <w:spacing w:line="360" w:lineRule="auto"/>
              <w:ind w:rightChars="30" w:right="63"/>
              <w:jc w:val="center"/>
              <w:rPr>
                <w:rFonts w:ascii="仿宋" w:eastAsia="仿宋" w:hAnsi="仿宋" w:cs="仿宋"/>
                <w:sz w:val="24"/>
              </w:rPr>
            </w:pPr>
            <w:r>
              <w:rPr>
                <w:rFonts w:ascii="仿宋" w:eastAsia="仿宋" w:hAnsi="仿宋" w:cs="仿宋" w:hint="eastAsia"/>
                <w:sz w:val="24"/>
              </w:rPr>
              <w:t>性能</w:t>
            </w:r>
          </w:p>
        </w:tc>
        <w:tc>
          <w:tcPr>
            <w:tcW w:w="4090" w:type="dxa"/>
            <w:vAlign w:val="center"/>
          </w:tcPr>
          <w:p w14:paraId="719C140F"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技术文件中应提供治疗控制系统软件易用性、可靠性、兼容性、性能效率、维护性、可移植性、信息安全性等</w:t>
            </w:r>
          </w:p>
        </w:tc>
        <w:tc>
          <w:tcPr>
            <w:tcW w:w="2395" w:type="dxa"/>
            <w:vAlign w:val="center"/>
          </w:tcPr>
          <w:p w14:paraId="154CC028" w14:textId="77777777" w:rsidR="002F32D3" w:rsidRDefault="00753E37">
            <w:pPr>
              <w:autoSpaceDE w:val="0"/>
              <w:autoSpaceDN w:val="0"/>
              <w:spacing w:line="360" w:lineRule="auto"/>
              <w:rPr>
                <w:rFonts w:ascii="仿宋_GB2312" w:eastAsia="仿宋_GB2312" w:hAnsi="仿宋" w:cs="仿宋"/>
                <w:sz w:val="24"/>
              </w:rPr>
            </w:pPr>
            <w:r>
              <w:rPr>
                <w:rFonts w:ascii="仿宋_GB2312" w:eastAsia="仿宋_GB2312" w:hAnsi="仿宋" w:cs="仿宋" w:hint="eastAsia"/>
                <w:sz w:val="24"/>
              </w:rPr>
              <w:t>按照企业制定的规程</w:t>
            </w:r>
          </w:p>
        </w:tc>
      </w:tr>
    </w:tbl>
    <w:p w14:paraId="20C9C3AC" w14:textId="77777777" w:rsidR="002F32D3" w:rsidRDefault="00753E37">
      <w:pPr>
        <w:spacing w:line="360" w:lineRule="auto"/>
        <w:outlineLvl w:val="1"/>
        <w:rPr>
          <w:rFonts w:ascii="黑体" w:eastAsia="黑体" w:hAnsi="黑体" w:cs="黑体"/>
          <w:sz w:val="32"/>
          <w:szCs w:val="32"/>
        </w:rPr>
      </w:pPr>
      <w:bookmarkStart w:id="85" w:name="_Toc6694"/>
      <w:bookmarkStart w:id="86" w:name="_Toc11431"/>
      <w:bookmarkStart w:id="87" w:name="_Toc8699"/>
      <w:bookmarkStart w:id="88" w:name="_Toc16021"/>
      <w:bookmarkStart w:id="89" w:name="_Toc15885"/>
      <w:bookmarkStart w:id="90" w:name="_Toc16710"/>
      <w:bookmarkStart w:id="91" w:name="_Toc1591"/>
      <w:bookmarkStart w:id="92" w:name="_Toc19821"/>
      <w:bookmarkStart w:id="93" w:name="_Toc16201"/>
      <w:bookmarkStart w:id="94" w:name="_Toc31885"/>
      <w:bookmarkStart w:id="95" w:name="_Toc11875"/>
      <w:bookmarkStart w:id="96" w:name="_Toc18088"/>
      <w:bookmarkStart w:id="97" w:name="_Toc22283"/>
      <w:bookmarkStart w:id="98" w:name="_Toc14141"/>
      <w:bookmarkEnd w:id="84"/>
      <w:r>
        <w:rPr>
          <w:rFonts w:ascii="黑体" w:eastAsia="黑体" w:hAnsi="黑体" w:cs="黑体" w:hint="eastAsia"/>
          <w:sz w:val="32"/>
          <w:szCs w:val="32"/>
        </w:rPr>
        <w:t>三、生产工艺和质量关键控制点</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77646064" w14:textId="77777777" w:rsidR="002F32D3" w:rsidRDefault="00753E37">
      <w:pPr>
        <w:spacing w:line="360" w:lineRule="auto"/>
        <w:ind w:firstLineChars="200" w:firstLine="640"/>
        <w:outlineLvl w:val="2"/>
        <w:rPr>
          <w:rFonts w:ascii="楷体" w:eastAsia="楷体" w:hAnsi="楷体" w:cs="楷体"/>
          <w:sz w:val="32"/>
          <w:szCs w:val="32"/>
        </w:rPr>
      </w:pPr>
      <w:bookmarkStart w:id="99" w:name="_Toc16298"/>
      <w:bookmarkStart w:id="100" w:name="_Toc13335"/>
      <w:bookmarkStart w:id="101" w:name="_Toc14600"/>
      <w:bookmarkStart w:id="102" w:name="_Toc5114"/>
      <w:bookmarkStart w:id="103" w:name="_Toc979"/>
      <w:bookmarkStart w:id="104" w:name="_Toc9329"/>
      <w:bookmarkStart w:id="105" w:name="_Toc8546"/>
      <w:bookmarkStart w:id="106" w:name="_Toc15251"/>
      <w:bookmarkStart w:id="107" w:name="_Toc19421"/>
      <w:bookmarkStart w:id="108" w:name="_Toc23155"/>
      <w:bookmarkStart w:id="109" w:name="_Toc18076"/>
      <w:bookmarkStart w:id="110" w:name="_Toc27584"/>
      <w:bookmarkStart w:id="111" w:name="_Toc4275"/>
      <w:bookmarkStart w:id="112" w:name="_Toc246"/>
      <w:r>
        <w:rPr>
          <w:rFonts w:ascii="楷体" w:eastAsia="楷体" w:hAnsi="楷体" w:cs="楷体" w:hint="eastAsia"/>
          <w:sz w:val="32"/>
          <w:szCs w:val="32"/>
        </w:rPr>
        <w:t>（一）生产环节风险点</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211C63C6" w14:textId="77777777" w:rsidR="002F32D3" w:rsidRDefault="00753E37">
      <w:pPr>
        <w:spacing w:line="360" w:lineRule="auto"/>
        <w:ind w:firstLineChars="200" w:firstLine="640"/>
        <w:rPr>
          <w:rFonts w:ascii="仿宋" w:eastAsia="仿宋" w:hAnsi="仿宋" w:cs="仿宋"/>
          <w:color w:val="000000"/>
          <w:kern w:val="0"/>
          <w:sz w:val="32"/>
          <w:szCs w:val="28"/>
        </w:rPr>
      </w:pPr>
      <w:bookmarkStart w:id="113" w:name="_Toc414887835"/>
      <w:r>
        <w:rPr>
          <w:rFonts w:ascii="仿宋" w:eastAsia="仿宋" w:hAnsi="仿宋" w:cs="仿宋" w:hint="eastAsia"/>
          <w:color w:val="000000"/>
          <w:kern w:val="0"/>
          <w:sz w:val="32"/>
          <w:szCs w:val="28"/>
        </w:rPr>
        <w:t>治疗控制系统生产环节风险点主要包括人员、需求、开</w:t>
      </w:r>
      <w:r>
        <w:rPr>
          <w:rFonts w:ascii="仿宋" w:eastAsia="仿宋" w:hAnsi="仿宋" w:cs="仿宋" w:hint="eastAsia"/>
          <w:color w:val="000000"/>
          <w:kern w:val="0"/>
          <w:sz w:val="32"/>
          <w:szCs w:val="28"/>
        </w:rPr>
        <w:lastRenderedPageBreak/>
        <w:t>发环境、软件设计、软件验证、数据安全、配置管理、安装等。</w:t>
      </w:r>
    </w:p>
    <w:p w14:paraId="7DF0E3C4" w14:textId="77777777" w:rsidR="002F32D3" w:rsidRDefault="00753E37">
      <w:pPr>
        <w:spacing w:line="360" w:lineRule="auto"/>
        <w:ind w:firstLineChars="200" w:firstLine="640"/>
        <w:outlineLvl w:val="2"/>
        <w:rPr>
          <w:rFonts w:ascii="楷体" w:eastAsia="楷体" w:hAnsi="楷体" w:cs="楷体"/>
          <w:sz w:val="32"/>
          <w:szCs w:val="32"/>
        </w:rPr>
      </w:pPr>
      <w:bookmarkStart w:id="114" w:name="_Toc265"/>
      <w:bookmarkStart w:id="115" w:name="_Toc21724"/>
      <w:bookmarkStart w:id="116" w:name="_Toc29702"/>
      <w:bookmarkStart w:id="117" w:name="_Toc26049"/>
      <w:bookmarkStart w:id="118" w:name="_Toc6808"/>
      <w:bookmarkStart w:id="119" w:name="_Toc10796"/>
      <w:bookmarkStart w:id="120" w:name="_Toc4495"/>
      <w:bookmarkStart w:id="121" w:name="_Toc8743"/>
      <w:bookmarkStart w:id="122" w:name="_Toc17444"/>
      <w:bookmarkStart w:id="123" w:name="_Toc12290"/>
      <w:bookmarkStart w:id="124" w:name="_Toc29065"/>
      <w:bookmarkStart w:id="125" w:name="_Toc15474"/>
      <w:bookmarkStart w:id="126" w:name="_Toc12364"/>
      <w:bookmarkStart w:id="127" w:name="_Toc411"/>
      <w:bookmarkEnd w:id="113"/>
      <w:r>
        <w:rPr>
          <w:rFonts w:ascii="楷体" w:eastAsia="楷体" w:hAnsi="楷体" w:cs="楷体" w:hint="eastAsia"/>
          <w:sz w:val="32"/>
          <w:szCs w:val="32"/>
        </w:rPr>
        <w:t>（二）生产质量管理关键控制</w:t>
      </w:r>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ascii="楷体" w:eastAsia="楷体" w:hAnsi="楷体" w:cs="楷体" w:hint="eastAsia"/>
          <w:sz w:val="32"/>
          <w:szCs w:val="32"/>
        </w:rPr>
        <w:t>措施</w:t>
      </w:r>
    </w:p>
    <w:tbl>
      <w:tblPr>
        <w:tblStyle w:val="a5"/>
        <w:tblW w:w="8425" w:type="dxa"/>
        <w:jc w:val="center"/>
        <w:tblLook w:val="04A0" w:firstRow="1" w:lastRow="0" w:firstColumn="1" w:lastColumn="0" w:noHBand="0" w:noVBand="1"/>
      </w:tblPr>
      <w:tblGrid>
        <w:gridCol w:w="875"/>
        <w:gridCol w:w="1825"/>
        <w:gridCol w:w="5725"/>
      </w:tblGrid>
      <w:tr w:rsidR="002F32D3" w14:paraId="62A782B4" w14:textId="77777777">
        <w:trPr>
          <w:trHeight w:val="552"/>
          <w:jc w:val="center"/>
        </w:trPr>
        <w:tc>
          <w:tcPr>
            <w:tcW w:w="875" w:type="dxa"/>
            <w:vAlign w:val="center"/>
          </w:tcPr>
          <w:p w14:paraId="2B73EE3D" w14:textId="77777777" w:rsidR="002F32D3" w:rsidRDefault="00753E37">
            <w:pPr>
              <w:autoSpaceDE w:val="0"/>
              <w:autoSpaceDN w:val="0"/>
              <w:spacing w:line="360" w:lineRule="auto"/>
              <w:jc w:val="center"/>
              <w:rPr>
                <w:rFonts w:ascii="仿宋_GB2312" w:eastAsia="仿宋_GB2312" w:hAnsi="仿宋_GB2312" w:cs="仿宋_GB2312"/>
                <w:b/>
                <w:bCs/>
                <w:sz w:val="24"/>
              </w:rPr>
            </w:pPr>
            <w:r>
              <w:rPr>
                <w:rFonts w:ascii="仿宋_GB2312" w:eastAsia="仿宋_GB2312" w:hAnsi="仿宋_GB2312" w:cs="仿宋_GB2312" w:hint="eastAsia"/>
                <w:b/>
                <w:bCs/>
                <w:sz w:val="24"/>
              </w:rPr>
              <w:t>序号</w:t>
            </w:r>
          </w:p>
        </w:tc>
        <w:tc>
          <w:tcPr>
            <w:tcW w:w="1825" w:type="dxa"/>
            <w:vAlign w:val="center"/>
          </w:tcPr>
          <w:p w14:paraId="19875A14" w14:textId="77777777" w:rsidR="002F32D3" w:rsidRDefault="00753E37">
            <w:pPr>
              <w:autoSpaceDE w:val="0"/>
              <w:autoSpaceDN w:val="0"/>
              <w:spacing w:line="360" w:lineRule="auto"/>
              <w:ind w:right="64"/>
              <w:jc w:val="center"/>
              <w:rPr>
                <w:rFonts w:ascii="仿宋_GB2312" w:eastAsia="仿宋_GB2312" w:hAnsi="仿宋_GB2312" w:cs="仿宋_GB2312"/>
                <w:b/>
                <w:bCs/>
                <w:sz w:val="24"/>
              </w:rPr>
            </w:pPr>
            <w:r>
              <w:rPr>
                <w:rFonts w:ascii="仿宋_GB2312" w:eastAsia="仿宋_GB2312" w:hAnsi="仿宋_GB2312" w:cs="仿宋_GB2312" w:hint="eastAsia"/>
                <w:b/>
                <w:bCs/>
                <w:sz w:val="24"/>
              </w:rPr>
              <w:t>风险点</w:t>
            </w:r>
          </w:p>
        </w:tc>
        <w:tc>
          <w:tcPr>
            <w:tcW w:w="5725" w:type="dxa"/>
            <w:vAlign w:val="center"/>
          </w:tcPr>
          <w:p w14:paraId="7897626A" w14:textId="77777777" w:rsidR="002F32D3" w:rsidRDefault="00753E37">
            <w:pPr>
              <w:autoSpaceDE w:val="0"/>
              <w:autoSpaceDN w:val="0"/>
              <w:spacing w:line="360" w:lineRule="auto"/>
              <w:ind w:right="64"/>
              <w:jc w:val="center"/>
              <w:rPr>
                <w:rFonts w:ascii="仿宋_GB2312" w:eastAsia="仿宋_GB2312" w:hAnsi="仿宋_GB2312" w:cs="仿宋_GB2312"/>
                <w:b/>
                <w:bCs/>
                <w:sz w:val="24"/>
              </w:rPr>
            </w:pPr>
            <w:r>
              <w:rPr>
                <w:rFonts w:ascii="仿宋_GB2312" w:eastAsia="仿宋_GB2312" w:hAnsi="仿宋_GB2312" w:cs="仿宋_GB2312" w:hint="eastAsia"/>
                <w:b/>
                <w:bCs/>
                <w:sz w:val="24"/>
              </w:rPr>
              <w:t>控制措施</w:t>
            </w:r>
          </w:p>
        </w:tc>
      </w:tr>
      <w:tr w:rsidR="002F32D3" w14:paraId="7864DD93" w14:textId="77777777">
        <w:trPr>
          <w:jc w:val="center"/>
        </w:trPr>
        <w:tc>
          <w:tcPr>
            <w:tcW w:w="875" w:type="dxa"/>
            <w:vAlign w:val="center"/>
          </w:tcPr>
          <w:p w14:paraId="4F4E1984" w14:textId="77777777" w:rsidR="002F32D3" w:rsidRDefault="002F32D3">
            <w:pPr>
              <w:numPr>
                <w:ilvl w:val="0"/>
                <w:numId w:val="5"/>
              </w:numPr>
              <w:autoSpaceDE w:val="0"/>
              <w:autoSpaceDN w:val="0"/>
              <w:spacing w:line="360" w:lineRule="auto"/>
              <w:ind w:firstLine="0"/>
              <w:jc w:val="center"/>
              <w:rPr>
                <w:rFonts w:ascii="仿宋" w:eastAsia="仿宋" w:hAnsi="仿宋" w:cs="仿宋"/>
                <w:sz w:val="24"/>
              </w:rPr>
            </w:pPr>
          </w:p>
        </w:tc>
        <w:tc>
          <w:tcPr>
            <w:tcW w:w="1825" w:type="dxa"/>
            <w:vAlign w:val="center"/>
          </w:tcPr>
          <w:p w14:paraId="0235CCE6"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人员</w:t>
            </w:r>
          </w:p>
        </w:tc>
        <w:tc>
          <w:tcPr>
            <w:tcW w:w="5725" w:type="dxa"/>
            <w:vAlign w:val="center"/>
          </w:tcPr>
          <w:p w14:paraId="4E1BAF17"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1 \* GB3 \* MERGEFORMAT </w:instrText>
            </w:r>
            <w:r>
              <w:rPr>
                <w:rFonts w:ascii="仿宋" w:eastAsia="仿宋" w:hAnsi="仿宋" w:cs="仿宋" w:hint="eastAsia"/>
                <w:sz w:val="24"/>
              </w:rPr>
              <w:fldChar w:fldCharType="separate"/>
            </w:r>
            <w:r>
              <w:rPr>
                <w:rFonts w:ascii="仿宋" w:eastAsia="仿宋" w:hAnsi="仿宋" w:cs="仿宋" w:hint="eastAsia"/>
                <w:sz w:val="24"/>
              </w:rPr>
              <w:t>①</w:t>
            </w:r>
            <w:r>
              <w:rPr>
                <w:rFonts w:ascii="仿宋" w:eastAsia="仿宋" w:hAnsi="仿宋" w:cs="仿宋" w:hint="eastAsia"/>
                <w:sz w:val="24"/>
              </w:rPr>
              <w:fldChar w:fldCharType="end"/>
            </w:r>
            <w:r>
              <w:rPr>
                <w:rFonts w:ascii="仿宋" w:eastAsia="仿宋" w:hAnsi="仿宋" w:cs="仿宋" w:hint="eastAsia"/>
                <w:sz w:val="24"/>
              </w:rPr>
              <w:t>企业应配备软件架构师、算法工程师、软件开发工程师、软件测试工程师、UI工程师等技术人员；</w:t>
            </w:r>
          </w:p>
          <w:p w14:paraId="7F13BD45"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软件开发、测试、维护人员应当具备与岗位职责要求相适宜的专业知识、实践经验和工作能力，应当保证黑盒测试同一软件项的开发人员和测试人员不得互相兼任；</w:t>
            </w:r>
          </w:p>
          <w:p w14:paraId="5249E862"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企业应在设计开发周期内关注团队人员的状态，建立人才储备；</w:t>
            </w:r>
          </w:p>
          <w:p w14:paraId="73B751D3"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4 \* GB3 \* MERGEFORMAT </w:instrText>
            </w:r>
            <w:r>
              <w:rPr>
                <w:rFonts w:ascii="仿宋" w:eastAsia="仿宋" w:hAnsi="仿宋" w:cs="仿宋" w:hint="eastAsia"/>
                <w:sz w:val="24"/>
              </w:rPr>
              <w:fldChar w:fldCharType="separate"/>
            </w:r>
            <w:r>
              <w:rPr>
                <w:rFonts w:ascii="仿宋" w:eastAsia="仿宋" w:hAnsi="仿宋" w:cs="仿宋" w:hint="eastAsia"/>
                <w:sz w:val="24"/>
              </w:rPr>
              <w:t>④</w:t>
            </w:r>
            <w:r>
              <w:rPr>
                <w:rFonts w:ascii="仿宋" w:eastAsia="仿宋" w:hAnsi="仿宋" w:cs="仿宋" w:hint="eastAsia"/>
                <w:sz w:val="24"/>
              </w:rPr>
              <w:fldChar w:fldCharType="end"/>
            </w:r>
            <w:r>
              <w:rPr>
                <w:rFonts w:ascii="仿宋" w:eastAsia="仿宋" w:hAnsi="仿宋" w:cs="仿宋" w:hint="eastAsia"/>
                <w:sz w:val="24"/>
              </w:rPr>
              <w:t>企业应对软件开发人员和测试人员进行需求规范、设计规范、使用说明书、标准等的培训。</w:t>
            </w:r>
          </w:p>
        </w:tc>
      </w:tr>
      <w:tr w:rsidR="002F32D3" w14:paraId="3FDD57BD" w14:textId="77777777">
        <w:trPr>
          <w:jc w:val="center"/>
        </w:trPr>
        <w:tc>
          <w:tcPr>
            <w:tcW w:w="875" w:type="dxa"/>
            <w:vAlign w:val="center"/>
          </w:tcPr>
          <w:p w14:paraId="03677FBF" w14:textId="77777777" w:rsidR="002F32D3" w:rsidRDefault="002F32D3">
            <w:pPr>
              <w:numPr>
                <w:ilvl w:val="0"/>
                <w:numId w:val="5"/>
              </w:numPr>
              <w:autoSpaceDE w:val="0"/>
              <w:autoSpaceDN w:val="0"/>
              <w:spacing w:line="360" w:lineRule="auto"/>
              <w:ind w:firstLine="0"/>
              <w:jc w:val="center"/>
              <w:rPr>
                <w:rFonts w:ascii="仿宋" w:eastAsia="仿宋" w:hAnsi="仿宋" w:cs="仿宋"/>
                <w:sz w:val="24"/>
              </w:rPr>
            </w:pPr>
          </w:p>
        </w:tc>
        <w:tc>
          <w:tcPr>
            <w:tcW w:w="1825" w:type="dxa"/>
            <w:vAlign w:val="center"/>
          </w:tcPr>
          <w:p w14:paraId="5BF73E35"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需求</w:t>
            </w:r>
          </w:p>
        </w:tc>
        <w:tc>
          <w:tcPr>
            <w:tcW w:w="5725" w:type="dxa"/>
            <w:vAlign w:val="center"/>
          </w:tcPr>
          <w:p w14:paraId="106C9FE8"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对于项目中新增的个性化需求，应主动和最终用户代表保持沟通，记录沟通结果；并将每一阶段的成果物及时和其确认。</w:t>
            </w:r>
          </w:p>
        </w:tc>
      </w:tr>
      <w:tr w:rsidR="002F32D3" w14:paraId="24EB7B26" w14:textId="77777777">
        <w:trPr>
          <w:jc w:val="center"/>
        </w:trPr>
        <w:tc>
          <w:tcPr>
            <w:tcW w:w="875" w:type="dxa"/>
            <w:vMerge w:val="restart"/>
            <w:vAlign w:val="center"/>
          </w:tcPr>
          <w:p w14:paraId="179947B5" w14:textId="77777777" w:rsidR="002F32D3" w:rsidRDefault="002F32D3">
            <w:pPr>
              <w:numPr>
                <w:ilvl w:val="0"/>
                <w:numId w:val="5"/>
              </w:numPr>
              <w:autoSpaceDE w:val="0"/>
              <w:autoSpaceDN w:val="0"/>
              <w:spacing w:line="360" w:lineRule="auto"/>
              <w:ind w:firstLine="0"/>
              <w:jc w:val="center"/>
              <w:rPr>
                <w:rFonts w:ascii="仿宋" w:eastAsia="仿宋" w:hAnsi="仿宋" w:cs="仿宋"/>
                <w:sz w:val="24"/>
              </w:rPr>
            </w:pPr>
          </w:p>
        </w:tc>
        <w:tc>
          <w:tcPr>
            <w:tcW w:w="1825" w:type="dxa"/>
            <w:vMerge w:val="restart"/>
            <w:vAlign w:val="center"/>
          </w:tcPr>
          <w:p w14:paraId="4BA682D2"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开发环境</w:t>
            </w:r>
          </w:p>
        </w:tc>
        <w:tc>
          <w:tcPr>
            <w:tcW w:w="5725" w:type="dxa"/>
            <w:vAlign w:val="center"/>
          </w:tcPr>
          <w:p w14:paraId="1355F0F9"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①企业应配备软件开发测试环境，建立软件开发测试环境维护文件及相应的维护记录（定期验证、更新升级、病毒查杀记录等）；</w:t>
            </w:r>
          </w:p>
          <w:p w14:paraId="0B7FB412"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企业应制定计算机软件确认程序文件，依据文件要求对软件开发工具（如配置管理工具和自研或第三方软件测试工具等）、安装在检测设备中的计算机软件进行确认，当软件更改、受计算机病毒侵害等情况发生时，企业应进行再确认；</w:t>
            </w:r>
          </w:p>
          <w:p w14:paraId="46E1ED94"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软件研发负责人或软件架构师应对开发团队使用的工具及版本等进行统一规范、管理，并进行确认。</w:t>
            </w:r>
          </w:p>
        </w:tc>
      </w:tr>
      <w:tr w:rsidR="002F32D3" w14:paraId="7F8AA62B" w14:textId="77777777">
        <w:trPr>
          <w:jc w:val="center"/>
        </w:trPr>
        <w:tc>
          <w:tcPr>
            <w:tcW w:w="875" w:type="dxa"/>
            <w:vAlign w:val="center"/>
          </w:tcPr>
          <w:p w14:paraId="7DD70008" w14:textId="77777777" w:rsidR="002F32D3" w:rsidRDefault="002F32D3">
            <w:pPr>
              <w:numPr>
                <w:ilvl w:val="0"/>
                <w:numId w:val="5"/>
              </w:numPr>
              <w:autoSpaceDE w:val="0"/>
              <w:autoSpaceDN w:val="0"/>
              <w:spacing w:line="360" w:lineRule="auto"/>
              <w:ind w:firstLine="0"/>
              <w:jc w:val="center"/>
              <w:rPr>
                <w:rFonts w:ascii="仿宋" w:eastAsia="仿宋" w:hAnsi="仿宋" w:cs="仿宋"/>
                <w:sz w:val="24"/>
              </w:rPr>
            </w:pPr>
          </w:p>
        </w:tc>
        <w:tc>
          <w:tcPr>
            <w:tcW w:w="1825" w:type="dxa"/>
            <w:vAlign w:val="center"/>
          </w:tcPr>
          <w:p w14:paraId="344AAD4A"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软件设计</w:t>
            </w:r>
          </w:p>
        </w:tc>
        <w:tc>
          <w:tcPr>
            <w:tcW w:w="5725" w:type="dxa"/>
            <w:vAlign w:val="center"/>
          </w:tcPr>
          <w:p w14:paraId="3411A2AA"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①企业应建立软件设计开发程序文件；</w:t>
            </w:r>
          </w:p>
          <w:p w14:paraId="2DE5B5B8"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lastRenderedPageBreak/>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企业应依据软件设计开发程序文件的要求进行软件策划、需求分析及设计；</w:t>
            </w:r>
          </w:p>
          <w:p w14:paraId="63245CE6"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软件设计开发输入的用户需求、自身需求、预期用途的功能、性能、安全要求、法规/标准要求、风险管理要求等输入信息应充分；</w:t>
            </w:r>
          </w:p>
          <w:p w14:paraId="0CFC5933"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4 \* GB3 \* MERGEFORMAT </w:instrText>
            </w:r>
            <w:r>
              <w:rPr>
                <w:rFonts w:ascii="仿宋" w:eastAsia="仿宋" w:hAnsi="仿宋" w:cs="仿宋" w:hint="eastAsia"/>
                <w:sz w:val="24"/>
              </w:rPr>
              <w:fldChar w:fldCharType="separate"/>
            </w:r>
            <w:r>
              <w:rPr>
                <w:rFonts w:ascii="仿宋" w:eastAsia="仿宋" w:hAnsi="仿宋" w:cs="仿宋" w:hint="eastAsia"/>
                <w:sz w:val="24"/>
              </w:rPr>
              <w:t>④</w:t>
            </w:r>
            <w:r>
              <w:rPr>
                <w:rFonts w:ascii="仿宋" w:eastAsia="仿宋" w:hAnsi="仿宋" w:cs="仿宋" w:hint="eastAsia"/>
                <w:sz w:val="24"/>
              </w:rPr>
              <w:fldChar w:fldCharType="end"/>
            </w:r>
            <w:r>
              <w:rPr>
                <w:rFonts w:ascii="仿宋" w:eastAsia="仿宋" w:hAnsi="仿宋" w:cs="仿宋" w:hint="eastAsia"/>
                <w:sz w:val="24"/>
              </w:rPr>
              <w:t>软件设计开发输出的技术要求应满足输入的国家和行业标准等要求；</w:t>
            </w:r>
          </w:p>
          <w:p w14:paraId="3D3E8CB4"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sym w:font="Wingdings" w:char="F085"/>
            </w:r>
            <w:r>
              <w:rPr>
                <w:rFonts w:ascii="仿宋" w:eastAsia="仿宋" w:hAnsi="仿宋" w:cs="仿宋" w:hint="eastAsia"/>
                <w:sz w:val="24"/>
              </w:rPr>
              <w:t>软件设计变更应进行识别、提出、验证和评审等，对于重大增强类软件更新，影响到医疗器械安全性或有效性的增强类更新，发布版本变更的，应进行注册变更；</w:t>
            </w:r>
          </w:p>
          <w:p w14:paraId="0C443A81"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sym w:font="Wingdings" w:char="F086"/>
            </w:r>
            <w:r>
              <w:rPr>
                <w:rFonts w:ascii="仿宋" w:eastAsia="仿宋" w:hAnsi="仿宋" w:cs="仿宋" w:hint="eastAsia"/>
                <w:sz w:val="24"/>
              </w:rPr>
              <w:t>软件开发过程应建立可追溯性机制，形成可追溯性记录，如从测试追溯到源代码，从源代码追溯到设计，从设计追溯到需求；</w:t>
            </w:r>
          </w:p>
          <w:p w14:paraId="2F1FB25E"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⑦企业应对现成软件（尤其是未知来源软件）的风险进行评估，并采取安全措施确保软件安全。</w:t>
            </w:r>
          </w:p>
        </w:tc>
      </w:tr>
      <w:tr w:rsidR="002F32D3" w14:paraId="064698FC" w14:textId="77777777">
        <w:trPr>
          <w:jc w:val="center"/>
        </w:trPr>
        <w:tc>
          <w:tcPr>
            <w:tcW w:w="875" w:type="dxa"/>
            <w:vAlign w:val="center"/>
          </w:tcPr>
          <w:p w14:paraId="44E41D33" w14:textId="77777777" w:rsidR="002F32D3" w:rsidRDefault="002F32D3">
            <w:pPr>
              <w:numPr>
                <w:ilvl w:val="0"/>
                <w:numId w:val="5"/>
              </w:numPr>
              <w:autoSpaceDE w:val="0"/>
              <w:autoSpaceDN w:val="0"/>
              <w:spacing w:line="360" w:lineRule="auto"/>
              <w:ind w:firstLine="0"/>
              <w:jc w:val="center"/>
              <w:rPr>
                <w:rFonts w:ascii="仿宋" w:eastAsia="仿宋" w:hAnsi="仿宋" w:cs="仿宋"/>
                <w:sz w:val="24"/>
              </w:rPr>
            </w:pPr>
          </w:p>
        </w:tc>
        <w:tc>
          <w:tcPr>
            <w:tcW w:w="1825" w:type="dxa"/>
            <w:vAlign w:val="center"/>
          </w:tcPr>
          <w:p w14:paraId="2D9C5FCA"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软件验证</w:t>
            </w:r>
          </w:p>
        </w:tc>
        <w:tc>
          <w:tcPr>
            <w:tcW w:w="5725" w:type="dxa"/>
            <w:vAlign w:val="center"/>
          </w:tcPr>
          <w:p w14:paraId="5D10DB9F"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①企业应建立软件测试计划（单元测试、集成测试、系统测试、网络安全测试），并对其进行评审；</w:t>
            </w:r>
          </w:p>
          <w:p w14:paraId="135CC380"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企业应制定软件测试用例，并对其进行评审，检查测试用例覆盖情况；</w:t>
            </w:r>
          </w:p>
          <w:p w14:paraId="6191F6A2"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企业应选择成熟稳定可靠的测试工具；</w:t>
            </w:r>
          </w:p>
          <w:p w14:paraId="5010000A"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4 \* GB3 \* MERGEFORMAT </w:instrText>
            </w:r>
            <w:r>
              <w:rPr>
                <w:rFonts w:ascii="仿宋" w:eastAsia="仿宋" w:hAnsi="仿宋" w:cs="仿宋" w:hint="eastAsia"/>
                <w:sz w:val="24"/>
              </w:rPr>
              <w:fldChar w:fldCharType="separate"/>
            </w:r>
            <w:r>
              <w:rPr>
                <w:rFonts w:ascii="仿宋" w:eastAsia="仿宋" w:hAnsi="仿宋" w:cs="仿宋" w:hint="eastAsia"/>
                <w:sz w:val="24"/>
              </w:rPr>
              <w:t>④</w:t>
            </w:r>
            <w:r>
              <w:rPr>
                <w:rFonts w:ascii="仿宋" w:eastAsia="仿宋" w:hAnsi="仿宋" w:cs="仿宋" w:hint="eastAsia"/>
                <w:sz w:val="24"/>
              </w:rPr>
              <w:fldChar w:fldCharType="end"/>
            </w:r>
            <w:r>
              <w:rPr>
                <w:rFonts w:ascii="仿宋" w:eastAsia="仿宋" w:hAnsi="仿宋" w:cs="仿宋" w:hint="eastAsia"/>
                <w:sz w:val="24"/>
              </w:rPr>
              <w:t>企业应依据软件测试用例对软件进行单元测试、集成测试、系统测试、网络安全测试，测试记录、测试报告、自检记录、自检报告应满足真实、完整性要求；</w:t>
            </w:r>
          </w:p>
          <w:p w14:paraId="6FE94649"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sym w:font="Wingdings" w:char="F085"/>
            </w:r>
            <w:r>
              <w:rPr>
                <w:rFonts w:ascii="仿宋" w:eastAsia="仿宋" w:hAnsi="仿宋" w:cs="仿宋" w:hint="eastAsia"/>
                <w:sz w:val="24"/>
              </w:rPr>
              <w:t>软件标识应满足可追溯性要求，如软件名称、规格型号、完整版本、发布版本、HASH值等。</w:t>
            </w:r>
          </w:p>
        </w:tc>
      </w:tr>
      <w:tr w:rsidR="002F32D3" w14:paraId="17F487A6" w14:textId="77777777">
        <w:trPr>
          <w:jc w:val="center"/>
        </w:trPr>
        <w:tc>
          <w:tcPr>
            <w:tcW w:w="875" w:type="dxa"/>
            <w:vAlign w:val="center"/>
          </w:tcPr>
          <w:p w14:paraId="49B1FC60" w14:textId="77777777" w:rsidR="002F32D3" w:rsidRDefault="002F32D3">
            <w:pPr>
              <w:numPr>
                <w:ilvl w:val="0"/>
                <w:numId w:val="5"/>
              </w:numPr>
              <w:autoSpaceDE w:val="0"/>
              <w:autoSpaceDN w:val="0"/>
              <w:spacing w:line="360" w:lineRule="auto"/>
              <w:ind w:firstLine="0"/>
              <w:jc w:val="center"/>
              <w:rPr>
                <w:rFonts w:ascii="仿宋" w:eastAsia="仿宋" w:hAnsi="仿宋" w:cs="仿宋"/>
                <w:sz w:val="24"/>
              </w:rPr>
            </w:pPr>
          </w:p>
        </w:tc>
        <w:tc>
          <w:tcPr>
            <w:tcW w:w="1825" w:type="dxa"/>
            <w:vAlign w:val="center"/>
          </w:tcPr>
          <w:p w14:paraId="166FDBE2"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数据安全</w:t>
            </w:r>
          </w:p>
        </w:tc>
        <w:tc>
          <w:tcPr>
            <w:tcW w:w="5725" w:type="dxa"/>
            <w:vAlign w:val="center"/>
          </w:tcPr>
          <w:p w14:paraId="614A87B2"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①企业应对软件系统电子接口（网络接口、电子数据交换接口）的访问、防护等进行控制，防止非预期的使用；</w:t>
            </w:r>
          </w:p>
          <w:p w14:paraId="3C220B1A"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lastRenderedPageBreak/>
              <w:fldChar w:fldCharType="begin"/>
            </w:r>
            <w:r>
              <w:rPr>
                <w:rFonts w:ascii="仿宋" w:eastAsia="仿宋" w:hAnsi="仿宋" w:cs="仿宋" w:hint="eastAsia"/>
                <w:sz w:val="24"/>
              </w:rPr>
              <w:instrText xml:space="preserve"> = 2 \* GB3 \* MERGEFORMAT </w:instrText>
            </w:r>
            <w:r>
              <w:rPr>
                <w:rFonts w:ascii="仿宋" w:eastAsia="仿宋" w:hAnsi="仿宋" w:cs="仿宋" w:hint="eastAsia"/>
                <w:sz w:val="24"/>
              </w:rPr>
              <w:fldChar w:fldCharType="separate"/>
            </w:r>
            <w:r>
              <w:rPr>
                <w:rFonts w:ascii="仿宋" w:eastAsia="仿宋" w:hAnsi="仿宋" w:cs="仿宋" w:hint="eastAsia"/>
                <w:sz w:val="24"/>
              </w:rPr>
              <w:t>②</w:t>
            </w:r>
            <w:r>
              <w:rPr>
                <w:rFonts w:ascii="仿宋" w:eastAsia="仿宋" w:hAnsi="仿宋" w:cs="仿宋" w:hint="eastAsia"/>
                <w:sz w:val="24"/>
              </w:rPr>
              <w:fldChar w:fldCharType="end"/>
            </w:r>
            <w:r>
              <w:rPr>
                <w:rFonts w:ascii="仿宋" w:eastAsia="仿宋" w:hAnsi="仿宋" w:cs="仿宋" w:hint="eastAsia"/>
                <w:sz w:val="24"/>
              </w:rPr>
              <w:t>企业应对软件网络安全威胁进行识别、保护、探测、响应、恢复等，如采用防火墙、堡垒机、漏洞扫描系统、终端用户管理系统等防护措施，网络安全具体参照《医疗器械网络安全注册审查指导原则》；</w:t>
            </w:r>
          </w:p>
          <w:p w14:paraId="391A6E9F"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企业应对软件系统漏洞进行扫描，如根据软件安全性级别进行网络安全漏洞自评或第三方漏洞评估检测，且两者不能使用同一工具进行漏洞扫描；</w:t>
            </w:r>
          </w:p>
          <w:p w14:paraId="375CD722"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4 \* GB3 \* MERGEFORMAT </w:instrText>
            </w:r>
            <w:r>
              <w:rPr>
                <w:rFonts w:ascii="仿宋" w:eastAsia="仿宋" w:hAnsi="仿宋" w:cs="仿宋" w:hint="eastAsia"/>
                <w:sz w:val="24"/>
              </w:rPr>
              <w:fldChar w:fldCharType="separate"/>
            </w:r>
            <w:r>
              <w:rPr>
                <w:rFonts w:ascii="仿宋" w:eastAsia="仿宋" w:hAnsi="仿宋" w:cs="仿宋" w:hint="eastAsia"/>
                <w:sz w:val="24"/>
              </w:rPr>
              <w:t>④</w:t>
            </w:r>
            <w:r>
              <w:rPr>
                <w:rFonts w:ascii="仿宋" w:eastAsia="仿宋" w:hAnsi="仿宋" w:cs="仿宋" w:hint="eastAsia"/>
                <w:sz w:val="24"/>
              </w:rPr>
              <w:fldChar w:fldCharType="end"/>
            </w:r>
            <w:r>
              <w:rPr>
                <w:rFonts w:ascii="仿宋" w:eastAsia="仿宋" w:hAnsi="仿宋" w:cs="仿宋" w:hint="eastAsia"/>
                <w:sz w:val="24"/>
              </w:rPr>
              <w:t>企业应对软件系统患者数据进行去标识化与匿名化处理，敏感信息如患者姓名、年龄、身份证号、手机号、照片等不直接在系统中明码完整显示；</w:t>
            </w:r>
          </w:p>
          <w:p w14:paraId="15FFFF08" w14:textId="77777777" w:rsidR="002F32D3" w:rsidRDefault="00753E37">
            <w:pPr>
              <w:autoSpaceDE w:val="0"/>
              <w:autoSpaceDN w:val="0"/>
              <w:spacing w:line="360" w:lineRule="auto"/>
              <w:rPr>
                <w:rFonts w:ascii="仿宋" w:eastAsia="仿宋" w:hAnsi="仿宋" w:cs="仿宋"/>
                <w:sz w:val="24"/>
              </w:rPr>
            </w:pPr>
            <w:r>
              <w:rPr>
                <w:rFonts w:ascii="宋体" w:hAnsi="宋体" w:hint="eastAsia"/>
                <w:sz w:val="24"/>
              </w:rPr>
              <w:t>⑤</w:t>
            </w:r>
            <w:r>
              <w:rPr>
                <w:rFonts w:ascii="仿宋" w:eastAsia="仿宋" w:hAnsi="仿宋" w:cs="仿宋" w:hint="eastAsia"/>
                <w:sz w:val="24"/>
              </w:rPr>
              <w:t>企业应对软件系统重要数据进行灾备，灾备方案设计合理，如异地增量备份，便于数据的备份与恢复等。</w:t>
            </w:r>
          </w:p>
        </w:tc>
      </w:tr>
      <w:tr w:rsidR="002F32D3" w14:paraId="6E92087D" w14:textId="77777777">
        <w:trPr>
          <w:jc w:val="center"/>
        </w:trPr>
        <w:tc>
          <w:tcPr>
            <w:tcW w:w="875" w:type="dxa"/>
            <w:vAlign w:val="center"/>
          </w:tcPr>
          <w:p w14:paraId="6DDA55C8" w14:textId="77777777" w:rsidR="002F32D3" w:rsidRDefault="002F32D3">
            <w:pPr>
              <w:numPr>
                <w:ilvl w:val="0"/>
                <w:numId w:val="5"/>
              </w:numPr>
              <w:autoSpaceDE w:val="0"/>
              <w:autoSpaceDN w:val="0"/>
              <w:spacing w:line="360" w:lineRule="auto"/>
              <w:ind w:firstLine="0"/>
              <w:jc w:val="center"/>
              <w:rPr>
                <w:rFonts w:ascii="仿宋" w:eastAsia="仿宋" w:hAnsi="仿宋" w:cs="仿宋"/>
                <w:sz w:val="24"/>
              </w:rPr>
            </w:pPr>
          </w:p>
        </w:tc>
        <w:tc>
          <w:tcPr>
            <w:tcW w:w="1825" w:type="dxa"/>
            <w:vAlign w:val="center"/>
          </w:tcPr>
          <w:p w14:paraId="3ECAABFE"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配置管理</w:t>
            </w:r>
          </w:p>
        </w:tc>
        <w:tc>
          <w:tcPr>
            <w:tcW w:w="5725" w:type="dxa"/>
            <w:vAlign w:val="center"/>
          </w:tcPr>
          <w:p w14:paraId="7FA3BD35"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①企业应建立软件配置管理程序文件；</w:t>
            </w:r>
          </w:p>
          <w:p w14:paraId="619F812D"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②企业应依据配置管理程序文件要求对软件版本、源代码、文件、工具、现成软件等进行控制；</w:t>
            </w:r>
          </w:p>
          <w:p w14:paraId="18C5395F"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企业应对软件配置项进行识别、标识，QA对配置项进行检查，记录检查结果；</w:t>
            </w:r>
          </w:p>
          <w:p w14:paraId="3EADC0CD"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4 \* GB3 \* MERGEFORMAT </w:instrText>
            </w:r>
            <w:r>
              <w:rPr>
                <w:rFonts w:ascii="仿宋" w:eastAsia="仿宋" w:hAnsi="仿宋" w:cs="仿宋" w:hint="eastAsia"/>
                <w:sz w:val="24"/>
              </w:rPr>
              <w:fldChar w:fldCharType="separate"/>
            </w:r>
            <w:r>
              <w:rPr>
                <w:rFonts w:ascii="仿宋" w:eastAsia="仿宋" w:hAnsi="仿宋" w:cs="仿宋" w:hint="eastAsia"/>
                <w:sz w:val="24"/>
              </w:rPr>
              <w:t>④</w:t>
            </w:r>
            <w:r>
              <w:rPr>
                <w:rFonts w:ascii="仿宋" w:eastAsia="仿宋" w:hAnsi="仿宋" w:cs="仿宋" w:hint="eastAsia"/>
                <w:sz w:val="24"/>
              </w:rPr>
              <w:fldChar w:fldCharType="end"/>
            </w:r>
            <w:r>
              <w:rPr>
                <w:rFonts w:ascii="仿宋" w:eastAsia="仿宋" w:hAnsi="仿宋" w:cs="仿宋" w:hint="eastAsia"/>
                <w:sz w:val="24"/>
              </w:rPr>
              <w:t>QA根据软件开发阶段检查配置状态，并对配置状态进行记录及更新；</w:t>
            </w:r>
          </w:p>
          <w:p w14:paraId="782C80C1"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⑤企业应对软件版本变更（涵盖软件、现成软件、网络安全的全部更新）进行控制，并保留变更记录、验证记录。</w:t>
            </w:r>
          </w:p>
        </w:tc>
      </w:tr>
      <w:tr w:rsidR="002F32D3" w14:paraId="1AB58311" w14:textId="77777777">
        <w:trPr>
          <w:jc w:val="center"/>
        </w:trPr>
        <w:tc>
          <w:tcPr>
            <w:tcW w:w="875" w:type="dxa"/>
            <w:vAlign w:val="center"/>
          </w:tcPr>
          <w:p w14:paraId="7BB77E15" w14:textId="77777777" w:rsidR="002F32D3" w:rsidRDefault="002F32D3">
            <w:pPr>
              <w:numPr>
                <w:ilvl w:val="0"/>
                <w:numId w:val="5"/>
              </w:numPr>
              <w:autoSpaceDE w:val="0"/>
              <w:autoSpaceDN w:val="0"/>
              <w:spacing w:line="360" w:lineRule="auto"/>
              <w:ind w:firstLine="0"/>
              <w:jc w:val="center"/>
              <w:rPr>
                <w:rFonts w:ascii="仿宋" w:eastAsia="仿宋" w:hAnsi="仿宋" w:cs="仿宋"/>
                <w:sz w:val="24"/>
              </w:rPr>
            </w:pPr>
          </w:p>
        </w:tc>
        <w:tc>
          <w:tcPr>
            <w:tcW w:w="1825" w:type="dxa"/>
            <w:vAlign w:val="center"/>
          </w:tcPr>
          <w:p w14:paraId="2C48F9B1"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安装</w:t>
            </w:r>
          </w:p>
        </w:tc>
        <w:tc>
          <w:tcPr>
            <w:tcW w:w="5725" w:type="dxa"/>
            <w:vAlign w:val="center"/>
          </w:tcPr>
          <w:p w14:paraId="069FC449"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①现场安装人员根据当前软件系统的技术要求，核对现场的运行环境是否与技术要求一致；</w:t>
            </w:r>
          </w:p>
          <w:p w14:paraId="61CB38A6"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t>②由版本管理人员或配置管理人员对发行的每个软件版本进行跟踪检查，确保能追踪到当前版本所对应的源码备份；</w:t>
            </w:r>
          </w:p>
          <w:p w14:paraId="3A39D4D9"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3 \* GB3 \* MERGEFORMAT </w:instrText>
            </w:r>
            <w:r>
              <w:rPr>
                <w:rFonts w:ascii="仿宋" w:eastAsia="仿宋" w:hAnsi="仿宋" w:cs="仿宋" w:hint="eastAsia"/>
                <w:sz w:val="24"/>
              </w:rPr>
              <w:fldChar w:fldCharType="separate"/>
            </w:r>
            <w:r>
              <w:rPr>
                <w:rFonts w:ascii="仿宋" w:eastAsia="仿宋" w:hAnsi="仿宋" w:cs="仿宋" w:hint="eastAsia"/>
                <w:sz w:val="24"/>
              </w:rPr>
              <w:t>③</w:t>
            </w:r>
            <w:r>
              <w:rPr>
                <w:rFonts w:ascii="仿宋" w:eastAsia="仿宋" w:hAnsi="仿宋" w:cs="仿宋" w:hint="eastAsia"/>
                <w:sz w:val="24"/>
              </w:rPr>
              <w:fldChar w:fldCharType="end"/>
            </w:r>
            <w:r>
              <w:rPr>
                <w:rFonts w:ascii="仿宋" w:eastAsia="仿宋" w:hAnsi="仿宋" w:cs="仿宋" w:hint="eastAsia"/>
                <w:sz w:val="24"/>
              </w:rPr>
              <w:t>现场安装的软件版本出口必须统一，统一由版本管理人员或配置管理人员从受控库检出再转交给软件</w:t>
            </w:r>
            <w:r>
              <w:rPr>
                <w:rFonts w:ascii="仿宋" w:eastAsia="仿宋" w:hAnsi="仿宋" w:cs="仿宋" w:hint="eastAsia"/>
                <w:sz w:val="24"/>
              </w:rPr>
              <w:lastRenderedPageBreak/>
              <w:t>安装人员；</w:t>
            </w:r>
          </w:p>
          <w:p w14:paraId="4C6A07AE" w14:textId="77777777" w:rsidR="002F32D3" w:rsidRDefault="00753E37">
            <w:pPr>
              <w:autoSpaceDE w:val="0"/>
              <w:autoSpaceDN w:val="0"/>
              <w:spacing w:line="360" w:lineRule="auto"/>
              <w:rPr>
                <w:rFonts w:ascii="仿宋" w:eastAsia="仿宋" w:hAnsi="仿宋" w:cs="仿宋"/>
                <w:sz w:val="24"/>
              </w:rPr>
            </w:pPr>
            <w:r>
              <w:rPr>
                <w:rFonts w:ascii="仿宋" w:eastAsia="仿宋" w:hAnsi="仿宋" w:cs="仿宋" w:hint="eastAsia"/>
                <w:sz w:val="24"/>
              </w:rPr>
              <w:fldChar w:fldCharType="begin"/>
            </w:r>
            <w:r>
              <w:rPr>
                <w:rFonts w:ascii="仿宋" w:eastAsia="仿宋" w:hAnsi="仿宋" w:cs="仿宋" w:hint="eastAsia"/>
                <w:sz w:val="24"/>
              </w:rPr>
              <w:instrText xml:space="preserve"> = 4 \* GB3 \* MERGEFORMAT </w:instrText>
            </w:r>
            <w:r>
              <w:rPr>
                <w:rFonts w:ascii="仿宋" w:eastAsia="仿宋" w:hAnsi="仿宋" w:cs="仿宋" w:hint="eastAsia"/>
                <w:sz w:val="24"/>
              </w:rPr>
              <w:fldChar w:fldCharType="separate"/>
            </w:r>
            <w:r>
              <w:rPr>
                <w:rFonts w:ascii="仿宋" w:eastAsia="仿宋" w:hAnsi="仿宋" w:cs="仿宋" w:hint="eastAsia"/>
                <w:sz w:val="24"/>
              </w:rPr>
              <w:t>④</w:t>
            </w:r>
            <w:r>
              <w:rPr>
                <w:rFonts w:ascii="仿宋" w:eastAsia="仿宋" w:hAnsi="仿宋" w:cs="仿宋" w:hint="eastAsia"/>
                <w:sz w:val="24"/>
              </w:rPr>
              <w:fldChar w:fldCharType="end"/>
            </w:r>
            <w:r>
              <w:rPr>
                <w:rFonts w:ascii="仿宋" w:eastAsia="仿宋" w:hAnsi="仿宋" w:cs="仿宋" w:hint="eastAsia"/>
                <w:sz w:val="24"/>
              </w:rPr>
              <w:t>现场软件安装完成后须进行确认及测试，形成安装记录。</w:t>
            </w:r>
          </w:p>
        </w:tc>
      </w:tr>
    </w:tbl>
    <w:p w14:paraId="7B8B3CB5" w14:textId="77777777" w:rsidR="002F32D3" w:rsidRDefault="00753E37">
      <w:pPr>
        <w:spacing w:line="360" w:lineRule="auto"/>
        <w:outlineLvl w:val="1"/>
        <w:rPr>
          <w:rFonts w:ascii="黑体" w:eastAsia="黑体" w:hAnsi="黑体" w:cs="黑体"/>
          <w:sz w:val="32"/>
          <w:szCs w:val="32"/>
        </w:rPr>
      </w:pPr>
      <w:bookmarkStart w:id="128" w:name="_Toc32278"/>
      <w:bookmarkStart w:id="129" w:name="_Toc18907"/>
      <w:bookmarkStart w:id="130" w:name="_Toc2300"/>
      <w:bookmarkStart w:id="131" w:name="_Toc6827"/>
      <w:bookmarkStart w:id="132" w:name="_Toc6347"/>
      <w:bookmarkStart w:id="133" w:name="_Toc2635"/>
      <w:bookmarkStart w:id="134" w:name="_Toc24219"/>
      <w:bookmarkStart w:id="135" w:name="_Toc11891"/>
      <w:bookmarkStart w:id="136" w:name="_Toc7195"/>
      <w:bookmarkStart w:id="137" w:name="_Toc5698"/>
      <w:bookmarkStart w:id="138" w:name="_Toc30051"/>
      <w:bookmarkStart w:id="139" w:name="_Toc28920"/>
      <w:bookmarkStart w:id="140" w:name="_Toc31427"/>
      <w:bookmarkStart w:id="141" w:name="_Toc8182"/>
      <w:r>
        <w:rPr>
          <w:rFonts w:ascii="黑体" w:eastAsia="黑体" w:hAnsi="黑体" w:cs="黑体" w:hint="eastAsia"/>
          <w:sz w:val="32"/>
          <w:szCs w:val="32"/>
        </w:rPr>
        <w:lastRenderedPageBreak/>
        <w:t>四、检查要点</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7A4E0DE" w14:textId="77777777" w:rsidR="002F32D3" w:rsidRDefault="00753E37">
      <w:pPr>
        <w:spacing w:line="360" w:lineRule="auto"/>
        <w:ind w:firstLineChars="200" w:firstLine="640"/>
        <w:outlineLvl w:val="2"/>
        <w:rPr>
          <w:rFonts w:ascii="楷体" w:eastAsia="楷体" w:hAnsi="楷体" w:cs="楷体"/>
          <w:sz w:val="32"/>
          <w:szCs w:val="32"/>
        </w:rPr>
      </w:pPr>
      <w:bookmarkStart w:id="142" w:name="_Toc20339"/>
      <w:bookmarkStart w:id="143" w:name="_Toc30133"/>
      <w:bookmarkStart w:id="144" w:name="_Toc17654"/>
      <w:bookmarkStart w:id="145" w:name="_Toc25606"/>
      <w:bookmarkStart w:id="146" w:name="_Toc10461"/>
      <w:bookmarkStart w:id="147" w:name="_Toc28901"/>
      <w:bookmarkStart w:id="148" w:name="_Toc21167"/>
      <w:bookmarkStart w:id="149" w:name="_Toc12354"/>
      <w:bookmarkStart w:id="150" w:name="_Toc20541"/>
      <w:bookmarkStart w:id="151" w:name="_Toc9443"/>
      <w:bookmarkStart w:id="152" w:name="_Toc28348"/>
      <w:bookmarkStart w:id="153" w:name="_Toc11323"/>
      <w:bookmarkStart w:id="154" w:name="_Toc7060"/>
      <w:bookmarkStart w:id="155" w:name="_Toc19808"/>
      <w:r>
        <w:rPr>
          <w:rFonts w:ascii="楷体" w:eastAsia="楷体" w:hAnsi="楷体" w:cs="楷体" w:hint="eastAsia"/>
          <w:sz w:val="32"/>
          <w:szCs w:val="32"/>
        </w:rPr>
        <w:t>（一）机构与人员</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7B537AE3"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企业应当对从事影响产品质量的工作人员，特别是产品设计开发人员、测试人员等制定考核评价制度，培训内容是否包含相关法律法规、基础理论知识、专业操作技能、过程质量控制及质量检验等，并保留相关培训记录。如：软件设计开发人员和测试人员需进行强制性标准及行业标准IEC 62304（YY/T 0664）等培训。</w:t>
      </w:r>
    </w:p>
    <w:p w14:paraId="4C9E594A" w14:textId="77777777" w:rsidR="002F32D3" w:rsidRDefault="00753E37">
      <w:pPr>
        <w:spacing w:line="360" w:lineRule="auto"/>
        <w:ind w:firstLineChars="200" w:firstLine="640"/>
        <w:outlineLvl w:val="2"/>
        <w:rPr>
          <w:rFonts w:ascii="楷体" w:eastAsia="楷体" w:hAnsi="楷体" w:cs="楷体"/>
          <w:sz w:val="32"/>
          <w:szCs w:val="32"/>
        </w:rPr>
      </w:pPr>
      <w:bookmarkStart w:id="156" w:name="_Toc8954"/>
      <w:bookmarkStart w:id="157" w:name="_Toc21990"/>
      <w:bookmarkStart w:id="158" w:name="_Toc2405"/>
      <w:bookmarkStart w:id="159" w:name="_Toc22476"/>
      <w:bookmarkStart w:id="160" w:name="_Toc6481"/>
      <w:bookmarkStart w:id="161" w:name="_Toc11404"/>
      <w:bookmarkStart w:id="162" w:name="_Toc8537"/>
      <w:bookmarkStart w:id="163" w:name="_Toc25842"/>
      <w:bookmarkStart w:id="164" w:name="_Toc11979"/>
      <w:bookmarkStart w:id="165" w:name="_Toc7984"/>
      <w:bookmarkStart w:id="166" w:name="_Toc4451"/>
      <w:bookmarkStart w:id="167" w:name="_Toc27982"/>
      <w:bookmarkStart w:id="168" w:name="_Toc4498"/>
      <w:bookmarkStart w:id="169" w:name="_Toc29982"/>
      <w:r>
        <w:rPr>
          <w:rFonts w:ascii="楷体" w:eastAsia="楷体" w:hAnsi="楷体" w:cs="楷体" w:hint="eastAsia"/>
          <w:sz w:val="32"/>
          <w:szCs w:val="32"/>
        </w:rPr>
        <w:t>（二）厂房与设施</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p>
    <w:p w14:paraId="554BDC59" w14:textId="77777777" w:rsidR="002F32D3" w:rsidRDefault="00753E37">
      <w:pPr>
        <w:spacing w:line="360" w:lineRule="auto"/>
        <w:ind w:firstLineChars="177" w:firstLine="566"/>
        <w:rPr>
          <w:rFonts w:ascii="仿宋" w:eastAsia="仿宋" w:hAnsi="仿宋" w:cs="Arial"/>
          <w:color w:val="000000"/>
          <w:sz w:val="32"/>
          <w:szCs w:val="32"/>
        </w:rPr>
      </w:pPr>
      <w:r>
        <w:rPr>
          <w:rFonts w:ascii="仿宋" w:eastAsia="仿宋" w:hAnsi="仿宋" w:cs="Arial" w:hint="eastAsia"/>
          <w:color w:val="000000"/>
          <w:sz w:val="32"/>
          <w:szCs w:val="32"/>
        </w:rPr>
        <w:t>企业应从多个方面进行考虑，包括硬件设施、软件设施、环境要求等。</w:t>
      </w:r>
    </w:p>
    <w:p w14:paraId="5A513353" w14:textId="77777777" w:rsidR="002F32D3" w:rsidRDefault="00753E3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1．企业应配备相应的硬件设备，包括处理器、内存、存储设备、服务器及测试设备等；</w:t>
      </w:r>
    </w:p>
    <w:p w14:paraId="782ACDB1" w14:textId="77777777" w:rsidR="002F32D3" w:rsidRDefault="00753E3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2. 企业应配备相应的软件设施，包括操作系统（如Windows等）、开发工具（如集成开发环境等）、测试工具（如Selenium、Junit等）、项目管理工具、版本控制系统等；</w:t>
      </w:r>
    </w:p>
    <w:p w14:paraId="1D21F7A3" w14:textId="77777777" w:rsidR="002F32D3" w:rsidRDefault="00753E3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3、企业应确保其生产环境满足要求，厂房通风良好、光照充足，并保持适宜的温度与湿度。机房内空气含尘浓度需低于规定标准，同时必须配备有效的接地系统和高可靠性的供电系统。</w:t>
      </w:r>
    </w:p>
    <w:p w14:paraId="785E120C" w14:textId="77777777" w:rsidR="002F32D3" w:rsidRDefault="00753E37">
      <w:pPr>
        <w:spacing w:line="360" w:lineRule="auto"/>
        <w:ind w:firstLineChars="200" w:firstLine="640"/>
        <w:outlineLvl w:val="2"/>
        <w:rPr>
          <w:rFonts w:ascii="楷体" w:eastAsia="楷体" w:hAnsi="楷体" w:cs="楷体"/>
          <w:sz w:val="32"/>
          <w:szCs w:val="32"/>
        </w:rPr>
      </w:pPr>
      <w:bookmarkStart w:id="170" w:name="_Toc7390"/>
      <w:bookmarkStart w:id="171" w:name="_Toc27289"/>
      <w:bookmarkStart w:id="172" w:name="_Toc14831"/>
      <w:bookmarkStart w:id="173" w:name="_Toc1144"/>
      <w:bookmarkStart w:id="174" w:name="_Toc11913"/>
      <w:bookmarkStart w:id="175" w:name="_Toc30107"/>
      <w:bookmarkStart w:id="176" w:name="_Toc20462"/>
      <w:bookmarkStart w:id="177" w:name="_Toc1282"/>
      <w:bookmarkStart w:id="178" w:name="_Toc12505"/>
      <w:bookmarkStart w:id="179" w:name="_Toc12327"/>
      <w:bookmarkStart w:id="180" w:name="_Toc16597"/>
      <w:bookmarkStart w:id="181" w:name="_Toc11566"/>
      <w:bookmarkStart w:id="182" w:name="_Toc13833"/>
      <w:bookmarkStart w:id="183" w:name="_Toc4635"/>
      <w:r>
        <w:rPr>
          <w:rFonts w:ascii="楷体" w:eastAsia="楷体" w:hAnsi="楷体" w:cs="楷体" w:hint="eastAsia"/>
          <w:sz w:val="32"/>
          <w:szCs w:val="32"/>
        </w:rPr>
        <w:lastRenderedPageBreak/>
        <w:t>（三）设备</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4538065F" w14:textId="77777777" w:rsidR="002F32D3" w:rsidRDefault="00753E37">
      <w:pPr>
        <w:spacing w:line="360" w:lineRule="auto"/>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企业应在治疗控制系统软件开发过程提供充分、适宜、有效的开发和测试环境，包括软硬件设备、开发测试工具、网络等资源以及病毒防护、数据备份与恢复等保证措施。</w:t>
      </w:r>
    </w:p>
    <w:p w14:paraId="115933B8" w14:textId="77777777" w:rsidR="002F32D3" w:rsidRDefault="00753E37">
      <w:pPr>
        <w:spacing w:line="360" w:lineRule="auto"/>
        <w:ind w:firstLineChars="200" w:firstLine="640"/>
        <w:rPr>
          <w:rFonts w:ascii="仿宋" w:eastAsia="仿宋" w:hAnsi="仿宋" w:cs="Arial"/>
          <w:color w:val="000000"/>
          <w:sz w:val="32"/>
          <w:szCs w:val="32"/>
        </w:rPr>
      </w:pPr>
      <w:r>
        <w:rPr>
          <w:rFonts w:ascii="仿宋" w:eastAsia="仿宋" w:hAnsi="仿宋" w:cs="仿宋" w:hint="eastAsia"/>
          <w:color w:val="000000"/>
          <w:sz w:val="32"/>
          <w:szCs w:val="32"/>
        </w:rPr>
        <w:t>软件开发和测试环境维护应形成文件，确定软件开发和测试环境定期验证、更新升级、病毒防护等活动要求，保持相关记录。</w:t>
      </w:r>
    </w:p>
    <w:p w14:paraId="03F3AF72" w14:textId="77777777" w:rsidR="002F32D3" w:rsidRDefault="00753E37">
      <w:pPr>
        <w:spacing w:line="360" w:lineRule="auto"/>
        <w:ind w:firstLineChars="200" w:firstLine="640"/>
        <w:outlineLvl w:val="2"/>
        <w:rPr>
          <w:rFonts w:ascii="楷体" w:eastAsia="楷体" w:hAnsi="楷体" w:cs="楷体"/>
          <w:sz w:val="32"/>
          <w:szCs w:val="32"/>
        </w:rPr>
      </w:pPr>
      <w:bookmarkStart w:id="184" w:name="_Toc18902"/>
      <w:bookmarkStart w:id="185" w:name="_Toc4803"/>
      <w:bookmarkStart w:id="186" w:name="_Toc10855"/>
      <w:bookmarkStart w:id="187" w:name="_Toc14555"/>
      <w:bookmarkStart w:id="188" w:name="_Toc21606"/>
      <w:bookmarkStart w:id="189" w:name="_Toc22688"/>
      <w:bookmarkStart w:id="190" w:name="_Toc30450"/>
      <w:bookmarkStart w:id="191" w:name="_Toc9370"/>
      <w:bookmarkStart w:id="192" w:name="_Toc17090"/>
      <w:bookmarkStart w:id="193" w:name="_Toc20385"/>
      <w:bookmarkStart w:id="194" w:name="_Toc30897"/>
      <w:bookmarkStart w:id="195" w:name="_Toc19024"/>
      <w:bookmarkStart w:id="196" w:name="_Toc27229"/>
      <w:bookmarkStart w:id="197" w:name="_Toc18644"/>
      <w:r>
        <w:rPr>
          <w:rFonts w:ascii="楷体" w:eastAsia="楷体" w:hAnsi="楷体" w:cs="楷体" w:hint="eastAsia"/>
          <w:sz w:val="32"/>
          <w:szCs w:val="32"/>
        </w:rPr>
        <w:t>（四）文件管理</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07304C0D" w14:textId="77777777" w:rsidR="002F32D3" w:rsidRDefault="00753E3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此部分内容详见总则要求。</w:t>
      </w:r>
    </w:p>
    <w:p w14:paraId="720D4475" w14:textId="77777777" w:rsidR="002F32D3" w:rsidRDefault="00753E37">
      <w:pPr>
        <w:spacing w:line="360" w:lineRule="auto"/>
        <w:ind w:firstLineChars="200" w:firstLine="640"/>
        <w:outlineLvl w:val="2"/>
        <w:rPr>
          <w:rFonts w:ascii="楷体" w:eastAsia="楷体" w:hAnsi="楷体" w:cs="楷体"/>
          <w:sz w:val="32"/>
          <w:szCs w:val="32"/>
        </w:rPr>
      </w:pPr>
      <w:bookmarkStart w:id="198" w:name="_Toc15787"/>
      <w:bookmarkStart w:id="199" w:name="_Toc4603"/>
      <w:bookmarkStart w:id="200" w:name="_Toc24600"/>
      <w:bookmarkStart w:id="201" w:name="_Toc4899"/>
      <w:bookmarkStart w:id="202" w:name="_Toc12388"/>
      <w:bookmarkStart w:id="203" w:name="_Toc9150"/>
      <w:bookmarkStart w:id="204" w:name="_Toc22405"/>
      <w:bookmarkStart w:id="205" w:name="_Toc20147"/>
      <w:bookmarkStart w:id="206" w:name="_Toc19206"/>
      <w:bookmarkStart w:id="207" w:name="_Toc22158"/>
      <w:bookmarkStart w:id="208" w:name="_Toc12564"/>
      <w:bookmarkStart w:id="209" w:name="_Toc24743"/>
      <w:bookmarkStart w:id="210" w:name="_Toc30853"/>
      <w:bookmarkStart w:id="211" w:name="_Toc27941"/>
      <w:r>
        <w:rPr>
          <w:rFonts w:ascii="楷体" w:eastAsia="楷体" w:hAnsi="楷体" w:cs="楷体" w:hint="eastAsia"/>
          <w:sz w:val="32"/>
          <w:szCs w:val="32"/>
        </w:rPr>
        <w:t>（五）设计开发</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020831FF"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1.企业应当依据风险管理控制程序实施软件风险管理活动，结合软件功能、接口、用户界面、现成软件、网络安全等进行风险识别、分析、评价、控制和验证，并贯穿于软件生存周期全过程。</w:t>
      </w:r>
    </w:p>
    <w:p w14:paraId="0F72AFEC" w14:textId="3728097F" w:rsidR="002F32D3" w:rsidRDefault="00573298">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w:t>
      </w:r>
      <w:r w:rsidR="00753E37">
        <w:rPr>
          <w:rFonts w:ascii="仿宋" w:eastAsia="仿宋" w:hAnsi="仿宋" w:cs="仿宋" w:hint="eastAsia"/>
          <w:color w:val="000000"/>
          <w:sz w:val="32"/>
          <w:szCs w:val="28"/>
        </w:rPr>
        <w:t>1）企业应在治疗控制系统软件设计开发策划阶段制定软件风险管理计划，包括风险管理活动的范围、职责和权限的分配、风险管理方针、风险可接受性准则、风险管理活动计划、验证活动、生产和生产后信息的收集等。</w:t>
      </w:r>
    </w:p>
    <w:p w14:paraId="3DD3B1A0" w14:textId="540DA534" w:rsidR="002F32D3" w:rsidRDefault="00573298">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w:t>
      </w:r>
      <w:r w:rsidR="00753E37">
        <w:rPr>
          <w:rFonts w:ascii="仿宋" w:eastAsia="仿宋" w:hAnsi="仿宋" w:cs="仿宋" w:hint="eastAsia"/>
          <w:color w:val="000000"/>
          <w:sz w:val="32"/>
          <w:szCs w:val="28"/>
        </w:rPr>
        <w:t>2）企业应建立软件缺陷管理制度，对软件开发及使用过程中发现的各类缺陷进行记录、评估、修复、回归测试、风险管理、评审等，形成软件缺陷分析报告，例如：非预期输入数据的响应，使用的外部组件的错误（比如数据库、操</w:t>
      </w:r>
      <w:r w:rsidR="00753E37">
        <w:rPr>
          <w:rFonts w:ascii="仿宋" w:eastAsia="仿宋" w:hAnsi="仿宋" w:cs="仿宋" w:hint="eastAsia"/>
          <w:color w:val="000000"/>
          <w:sz w:val="32"/>
          <w:szCs w:val="28"/>
        </w:rPr>
        <w:lastRenderedPageBreak/>
        <w:t>作系统和IT环境），网络安全风险/威胁、人机界面和人为错误等。</w:t>
      </w:r>
    </w:p>
    <w:p w14:paraId="7D521D24"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2.企业应根据软件产品特点、质量管理体系要求、合规性等因素制定软件版本命名规则并予以记录，各字段含义明确且无歧义无矛盾。例如，软件版本命名规则为X.Y.Z.B，其中X表示重大增强类更新，Y表示轻微增强类更新，Z表示纠正类更新，B表示内部构建，则软件完整版本为X.Y.Z.B，而软件发布版本为X，此时X发生变化应进行许可事项变更，而Y、Z和B发生变化无需进行许可事项变更。</w:t>
      </w:r>
    </w:p>
    <w:p w14:paraId="5234DBFF"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3.企业应建立软件可追溯性分析控制程序并形成文件，涵盖现成软件、网络安全的控制要求，软件可追溯性分析能够追踪到软件需求、软件设计、源代码、测试及风险管理之间的关系，相互之间满足正确性、一致性和完整性的要求。</w:t>
      </w:r>
    </w:p>
    <w:p w14:paraId="50E8B175"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4.企业应对软件需求进行分析，包括法规、标准、用户、产品、功能、性能、接口、用户界面、网络安全、警示提示等软件需求，确定风险管理、可追溯性分析、现成软件使用评估、软件确认测试计划创建、评审等活动要求，形成软件需求规范和评审记录并经批准，适时更新并经批准。</w:t>
      </w:r>
    </w:p>
    <w:p w14:paraId="09ECBDF5"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5.企业应依据软件需求规范实施软件体系架构、功能、性能、算法、接口、用户界面、单元、网络安全等设计，确定风险管理、可追溯性分析、现成软件使用评估、软件验证测试计划创建、评审等活动要求，形成软件设计规范和评审</w:t>
      </w:r>
      <w:r>
        <w:rPr>
          <w:rFonts w:ascii="仿宋" w:eastAsia="仿宋" w:hAnsi="仿宋" w:cs="仿宋" w:hint="eastAsia"/>
          <w:color w:val="000000"/>
          <w:sz w:val="32"/>
          <w:szCs w:val="28"/>
        </w:rPr>
        <w:lastRenderedPageBreak/>
        <w:t>记录并经批准，适时更新并经批准。</w:t>
      </w:r>
    </w:p>
    <w:p w14:paraId="5A401B6C"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6.企业应制定软件测试计划，依据软件测试计划进行单元测试、集成测试、系统测试，涵盖现成软件、网络安全的测试要求，形成相应软件测试记录、测试报告以及评审记录，并适时更新。</w:t>
      </w:r>
    </w:p>
    <w:p w14:paraId="6868D9A5"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7.企业应制定软件确认制度，确认内容包含用户测试、临床评价、评审等活动要求，涵盖现成软件、网络安全的确认要求，并保持相关记录。能够保证软件满足用户需求和预期目的，且软件已知剩余缺陷的风险均可接受。</w:t>
      </w:r>
    </w:p>
    <w:p w14:paraId="19727FDC" w14:textId="77777777" w:rsidR="002F32D3" w:rsidRDefault="00753E37">
      <w:pPr>
        <w:spacing w:line="360" w:lineRule="auto"/>
        <w:ind w:firstLineChars="200" w:firstLine="640"/>
        <w:rPr>
          <w:rFonts w:ascii="仿宋" w:eastAsia="仿宋" w:hAnsi="仿宋" w:cs="仿宋"/>
          <w:color w:val="000000"/>
          <w:sz w:val="32"/>
          <w:szCs w:val="28"/>
        </w:rPr>
      </w:pPr>
      <w:r>
        <w:rPr>
          <w:rFonts w:ascii="仿宋" w:eastAsia="仿宋" w:hAnsi="仿宋" w:cs="仿宋" w:hint="eastAsia"/>
          <w:color w:val="000000"/>
          <w:sz w:val="32"/>
          <w:szCs w:val="28"/>
        </w:rPr>
        <w:t>8.企业软件更新应形成文件，涵盖现成软件、网络安全的变更控制要求，确定软件更新请求评估、软件更新策划、软件更新实施、风险管理、验证与确认、缺陷管理、可追溯性分析、配置管理、文件与记录控制、评审、用户告知等活动要求，形成相关文件和记录并经批准，适时更新并经批准。软件版本变更应当与软件更新情况相匹配。验证与确认应当根据软件更新的类型、内容和程度实施相适宜的回归测试、用户测试等活动。</w:t>
      </w:r>
    </w:p>
    <w:p w14:paraId="589FEA7F" w14:textId="77777777" w:rsidR="002F32D3" w:rsidRDefault="00753E37">
      <w:pPr>
        <w:spacing w:line="360" w:lineRule="auto"/>
        <w:ind w:firstLineChars="200" w:firstLine="640"/>
        <w:outlineLvl w:val="2"/>
        <w:rPr>
          <w:rFonts w:ascii="楷体" w:eastAsia="楷体" w:hAnsi="楷体" w:cs="楷体"/>
          <w:sz w:val="32"/>
          <w:szCs w:val="32"/>
        </w:rPr>
      </w:pPr>
      <w:bookmarkStart w:id="212" w:name="_Toc17053"/>
      <w:bookmarkStart w:id="213" w:name="_Toc3449"/>
      <w:bookmarkStart w:id="214" w:name="_Toc201"/>
      <w:bookmarkStart w:id="215" w:name="_Toc15165"/>
      <w:bookmarkStart w:id="216" w:name="_Toc3104"/>
      <w:bookmarkStart w:id="217" w:name="_Toc9283"/>
      <w:bookmarkStart w:id="218" w:name="_Toc16870"/>
      <w:bookmarkStart w:id="219" w:name="_Toc14893"/>
      <w:bookmarkStart w:id="220" w:name="_Toc18291"/>
      <w:bookmarkStart w:id="221" w:name="_Toc16702"/>
      <w:bookmarkStart w:id="222" w:name="_Toc17577"/>
      <w:bookmarkStart w:id="223" w:name="_Toc24214"/>
      <w:bookmarkStart w:id="224" w:name="_Toc32131"/>
      <w:bookmarkStart w:id="225" w:name="_Toc2852"/>
      <w:r>
        <w:rPr>
          <w:rFonts w:ascii="楷体" w:eastAsia="楷体" w:hAnsi="楷体" w:cs="楷体" w:hint="eastAsia"/>
          <w:sz w:val="32"/>
          <w:szCs w:val="32"/>
        </w:rPr>
        <w:t>（六）采购</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907D4DC" w14:textId="77777777" w:rsidR="002F32D3" w:rsidRDefault="00753E37">
      <w:pPr>
        <w:spacing w:line="360" w:lineRule="auto"/>
        <w:ind w:firstLineChars="200" w:firstLine="640"/>
        <w:rPr>
          <w:rFonts w:ascii="仿宋" w:eastAsia="仿宋" w:hAnsi="仿宋" w:cs="Arial"/>
          <w:color w:val="000000"/>
          <w:sz w:val="32"/>
          <w:szCs w:val="32"/>
        </w:rPr>
      </w:pPr>
      <w:r>
        <w:rPr>
          <w:rFonts w:ascii="仿宋" w:eastAsia="仿宋" w:hAnsi="仿宋" w:cs="Arial" w:hint="eastAsia"/>
          <w:color w:val="000000"/>
          <w:sz w:val="32"/>
          <w:szCs w:val="32"/>
        </w:rPr>
        <w:t>此部分内容</w:t>
      </w:r>
      <w:r>
        <w:rPr>
          <w:rFonts w:ascii="仿宋" w:eastAsia="仿宋" w:hAnsi="仿宋" w:cs="微软雅黑" w:hint="eastAsia"/>
          <w:color w:val="000000"/>
          <w:sz w:val="32"/>
          <w:szCs w:val="32"/>
        </w:rPr>
        <w:t>详见</w:t>
      </w:r>
      <w:r>
        <w:rPr>
          <w:rFonts w:ascii="仿宋" w:eastAsia="仿宋" w:hAnsi="仿宋" w:cs="___WRD_EMBED_SUB_44" w:hint="eastAsia"/>
          <w:color w:val="000000"/>
          <w:sz w:val="32"/>
          <w:szCs w:val="32"/>
        </w:rPr>
        <w:t>总则要求</w:t>
      </w:r>
    </w:p>
    <w:p w14:paraId="0203D339" w14:textId="77777777" w:rsidR="002F32D3" w:rsidRDefault="00753E37">
      <w:pPr>
        <w:spacing w:line="360" w:lineRule="auto"/>
        <w:ind w:firstLineChars="200" w:firstLine="640"/>
        <w:outlineLvl w:val="2"/>
        <w:rPr>
          <w:rFonts w:ascii="楷体" w:eastAsia="楷体" w:hAnsi="楷体" w:cs="楷体"/>
          <w:sz w:val="32"/>
          <w:szCs w:val="32"/>
        </w:rPr>
      </w:pPr>
      <w:bookmarkStart w:id="226" w:name="_Toc11047"/>
      <w:bookmarkStart w:id="227" w:name="_Toc28215"/>
      <w:bookmarkStart w:id="228" w:name="_Toc32066"/>
      <w:bookmarkStart w:id="229" w:name="_Toc4443"/>
      <w:bookmarkStart w:id="230" w:name="_Toc31453"/>
      <w:bookmarkStart w:id="231" w:name="_Toc27932"/>
      <w:bookmarkStart w:id="232" w:name="_Toc20388"/>
      <w:bookmarkStart w:id="233" w:name="_Toc28288"/>
      <w:bookmarkStart w:id="234" w:name="_Toc26939"/>
      <w:bookmarkStart w:id="235" w:name="_Toc21893"/>
      <w:bookmarkStart w:id="236" w:name="_Toc3190"/>
      <w:bookmarkStart w:id="237" w:name="_Toc30788"/>
      <w:bookmarkStart w:id="238" w:name="_Toc7101"/>
      <w:bookmarkStart w:id="239" w:name="_Toc8007"/>
      <w:r>
        <w:rPr>
          <w:rFonts w:ascii="楷体" w:eastAsia="楷体" w:hAnsi="楷体" w:cs="楷体" w:hint="eastAsia"/>
          <w:sz w:val="32"/>
          <w:szCs w:val="32"/>
        </w:rPr>
        <w:t>（七）质量控制</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67292A4" w14:textId="77777777" w:rsidR="002F32D3" w:rsidRDefault="00753E37">
      <w:pPr>
        <w:numPr>
          <w:ilvl w:val="0"/>
          <w:numId w:val="6"/>
        </w:num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企业应建立软件检验管理制度，依据检验制度对软件进行相应测试，并保留相关记录。</w:t>
      </w:r>
    </w:p>
    <w:p w14:paraId="14706C1B" w14:textId="77777777" w:rsidR="002F32D3" w:rsidRDefault="00753E37">
      <w:pPr>
        <w:numPr>
          <w:ilvl w:val="0"/>
          <w:numId w:val="6"/>
        </w:num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企业应建立软件产品放行文件，确定软件版本识别、安装卸载测试、产品完整性检查、放行批准等活动要求，并保留相关记录。</w:t>
      </w:r>
    </w:p>
    <w:p w14:paraId="37F00912" w14:textId="77777777" w:rsidR="002F32D3" w:rsidRDefault="00753E37">
      <w:pPr>
        <w:numPr>
          <w:ilvl w:val="0"/>
          <w:numId w:val="6"/>
        </w:num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不合格品控制</w:t>
      </w:r>
    </w:p>
    <w:p w14:paraId="0E98D966" w14:textId="77777777" w:rsidR="002F32D3" w:rsidRDefault="00753E37">
      <w:pPr>
        <w:numPr>
          <w:ilvl w:val="0"/>
          <w:numId w:val="7"/>
        </w:numPr>
        <w:tabs>
          <w:tab w:val="left" w:pos="1050"/>
        </w:tabs>
        <w:spacing w:line="360" w:lineRule="auto"/>
        <w:ind w:left="0" w:firstLine="640"/>
        <w:rPr>
          <w:rFonts w:ascii="仿宋" w:eastAsia="仿宋" w:hAnsi="仿宋"/>
          <w:color w:val="000000"/>
          <w:sz w:val="32"/>
          <w:szCs w:val="32"/>
        </w:rPr>
      </w:pPr>
      <w:bookmarkStart w:id="240" w:name="_GoBack"/>
      <w:bookmarkEnd w:id="240"/>
      <w:r>
        <w:rPr>
          <w:rFonts w:ascii="仿宋" w:eastAsia="仿宋" w:hAnsi="仿宋" w:hint="eastAsia"/>
          <w:color w:val="000000"/>
          <w:sz w:val="32"/>
          <w:szCs w:val="32"/>
        </w:rPr>
        <w:t>企业应建立不合格品控制程序，规定不合格品控制的部门和人员的职责与权限。</w:t>
      </w:r>
    </w:p>
    <w:p w14:paraId="18D8DA13" w14:textId="77777777" w:rsidR="002F32D3" w:rsidRDefault="00753E37">
      <w:pPr>
        <w:numPr>
          <w:ilvl w:val="0"/>
          <w:numId w:val="7"/>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企业应明确不合格物料的识别、记录、隔离和评审流程，根据评审结果，对不合格物料采取相应的处置措施。</w:t>
      </w:r>
    </w:p>
    <w:p w14:paraId="5232D156" w14:textId="77777777" w:rsidR="002F32D3" w:rsidRDefault="00753E37">
      <w:pPr>
        <w:numPr>
          <w:ilvl w:val="0"/>
          <w:numId w:val="7"/>
        </w:numPr>
        <w:tabs>
          <w:tab w:val="left" w:pos="1050"/>
        </w:tabs>
        <w:spacing w:line="360" w:lineRule="auto"/>
        <w:ind w:left="0" w:firstLine="640"/>
        <w:rPr>
          <w:rFonts w:ascii="仿宋" w:eastAsia="仿宋" w:hAnsi="仿宋"/>
          <w:color w:val="000000"/>
          <w:sz w:val="32"/>
          <w:szCs w:val="32"/>
        </w:rPr>
      </w:pPr>
      <w:r>
        <w:rPr>
          <w:rFonts w:ascii="仿宋" w:eastAsia="仿宋" w:hAnsi="仿宋" w:hint="eastAsia"/>
          <w:color w:val="000000"/>
          <w:sz w:val="32"/>
          <w:szCs w:val="32"/>
        </w:rPr>
        <w:t>企业应按程序文件要求执行，对不合格物料分门归类、原因分析、纠正预防措施应合理、有效，应进行评审，且保留评审记录。</w:t>
      </w:r>
    </w:p>
    <w:p w14:paraId="79CD6554" w14:textId="77777777" w:rsidR="002F32D3" w:rsidRDefault="00753E37">
      <w:pPr>
        <w:numPr>
          <w:ilvl w:val="0"/>
          <w:numId w:val="7"/>
        </w:numPr>
        <w:tabs>
          <w:tab w:val="left" w:pos="1050"/>
        </w:tabs>
        <w:spacing w:line="360" w:lineRule="auto"/>
        <w:ind w:left="0" w:firstLine="640"/>
        <w:rPr>
          <w:sz w:val="32"/>
          <w:szCs w:val="32"/>
        </w:rPr>
      </w:pPr>
      <w:r>
        <w:rPr>
          <w:rFonts w:ascii="仿宋" w:eastAsia="仿宋" w:hAnsi="仿宋" w:hint="eastAsia"/>
          <w:color w:val="000000"/>
          <w:sz w:val="32"/>
          <w:szCs w:val="32"/>
        </w:rPr>
        <w:t>企业应对可以返工的不合格物料作出规定，应按照返工文件要求进行返工活动，并记录。</w:t>
      </w:r>
    </w:p>
    <w:p w14:paraId="029064A7" w14:textId="77777777" w:rsidR="002F32D3" w:rsidRDefault="00753E37">
      <w:pPr>
        <w:numPr>
          <w:ilvl w:val="0"/>
          <w:numId w:val="7"/>
        </w:numPr>
        <w:tabs>
          <w:tab w:val="left" w:pos="1050"/>
        </w:tabs>
        <w:spacing w:line="360" w:lineRule="auto"/>
        <w:ind w:left="0" w:firstLine="640"/>
        <w:rPr>
          <w:sz w:val="32"/>
          <w:szCs w:val="32"/>
        </w:rPr>
      </w:pPr>
      <w:r>
        <w:rPr>
          <w:rFonts w:ascii="仿宋" w:eastAsia="仿宋" w:hAnsi="仿宋" w:hint="eastAsia"/>
          <w:color w:val="000000"/>
          <w:sz w:val="32"/>
          <w:szCs w:val="32"/>
        </w:rPr>
        <w:t>企业应建立不合格物料处置记录，记录内容应完整且能有效反映处置的过程，满足可追溯要求。</w:t>
      </w:r>
    </w:p>
    <w:sectPr w:rsidR="002F32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6B7816" w14:textId="77777777" w:rsidR="00E97C48" w:rsidRDefault="00E97C48" w:rsidP="007A480B">
      <w:r>
        <w:separator/>
      </w:r>
    </w:p>
  </w:endnote>
  <w:endnote w:type="continuationSeparator" w:id="0">
    <w:p w14:paraId="13B01206" w14:textId="77777777" w:rsidR="00E97C48" w:rsidRDefault="00E97C48" w:rsidP="007A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___WRD_EMBED_SUB_44">
    <w:altName w:val="宋体"/>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961633"/>
      <w:docPartObj>
        <w:docPartGallery w:val="Page Numbers (Bottom of Page)"/>
        <w:docPartUnique/>
      </w:docPartObj>
    </w:sdtPr>
    <w:sdtEndPr/>
    <w:sdtContent>
      <w:sdt>
        <w:sdtPr>
          <w:id w:val="1728636285"/>
          <w:docPartObj>
            <w:docPartGallery w:val="Page Numbers (Top of Page)"/>
            <w:docPartUnique/>
          </w:docPartObj>
        </w:sdtPr>
        <w:sdtEndPr/>
        <w:sdtContent>
          <w:p w14:paraId="09EC4C98" w14:textId="33EE4500" w:rsidR="007A480B" w:rsidRDefault="007A480B">
            <w:pPr>
              <w:pStyle w:val="a9"/>
              <w:jc w:val="center"/>
            </w:pPr>
            <w:r w:rsidRPr="007A480B">
              <w:rPr>
                <w:rFonts w:ascii="宋体" w:hAnsi="宋体" w:hint="eastAsia"/>
                <w:sz w:val="21"/>
                <w:szCs w:val="21"/>
              </w:rPr>
              <w:t>第</w:t>
            </w:r>
            <w:r w:rsidRPr="007A480B">
              <w:rPr>
                <w:rFonts w:ascii="宋体" w:hAnsi="宋体"/>
                <w:bCs/>
                <w:sz w:val="21"/>
                <w:szCs w:val="21"/>
              </w:rPr>
              <w:fldChar w:fldCharType="begin"/>
            </w:r>
            <w:r w:rsidRPr="007A480B">
              <w:rPr>
                <w:rFonts w:ascii="宋体" w:hAnsi="宋体"/>
                <w:bCs/>
                <w:sz w:val="21"/>
                <w:szCs w:val="21"/>
              </w:rPr>
              <w:instrText>PAGE</w:instrText>
            </w:r>
            <w:r w:rsidRPr="007A480B">
              <w:rPr>
                <w:rFonts w:ascii="宋体" w:hAnsi="宋体"/>
                <w:bCs/>
                <w:sz w:val="21"/>
                <w:szCs w:val="21"/>
              </w:rPr>
              <w:fldChar w:fldCharType="separate"/>
            </w:r>
            <w:r w:rsidR="00573298">
              <w:rPr>
                <w:rFonts w:ascii="宋体" w:hAnsi="宋体"/>
                <w:bCs/>
                <w:noProof/>
                <w:sz w:val="21"/>
                <w:szCs w:val="21"/>
              </w:rPr>
              <w:t>11</w:t>
            </w:r>
            <w:r w:rsidRPr="007A480B">
              <w:rPr>
                <w:rFonts w:ascii="宋体" w:hAnsi="宋体"/>
                <w:bCs/>
                <w:sz w:val="21"/>
                <w:szCs w:val="21"/>
              </w:rPr>
              <w:fldChar w:fldCharType="end"/>
            </w:r>
            <w:r w:rsidRPr="007A480B">
              <w:rPr>
                <w:rFonts w:ascii="宋体" w:hAnsi="宋体" w:hint="eastAsia"/>
                <w:bCs/>
                <w:sz w:val="21"/>
                <w:szCs w:val="21"/>
              </w:rPr>
              <w:t>页 共</w:t>
            </w:r>
            <w:r w:rsidRPr="007A480B">
              <w:rPr>
                <w:rFonts w:ascii="宋体" w:hAnsi="宋体"/>
                <w:bCs/>
                <w:sz w:val="21"/>
                <w:szCs w:val="21"/>
              </w:rPr>
              <w:fldChar w:fldCharType="begin"/>
            </w:r>
            <w:r w:rsidRPr="007A480B">
              <w:rPr>
                <w:rFonts w:ascii="宋体" w:hAnsi="宋体"/>
                <w:bCs/>
                <w:sz w:val="21"/>
                <w:szCs w:val="21"/>
              </w:rPr>
              <w:instrText>NUMPAGES</w:instrText>
            </w:r>
            <w:r w:rsidRPr="007A480B">
              <w:rPr>
                <w:rFonts w:ascii="宋体" w:hAnsi="宋体"/>
                <w:bCs/>
                <w:sz w:val="21"/>
                <w:szCs w:val="21"/>
              </w:rPr>
              <w:fldChar w:fldCharType="separate"/>
            </w:r>
            <w:r w:rsidR="00573298">
              <w:rPr>
                <w:rFonts w:ascii="宋体" w:hAnsi="宋体"/>
                <w:bCs/>
                <w:noProof/>
                <w:sz w:val="21"/>
                <w:szCs w:val="21"/>
              </w:rPr>
              <w:t>11</w:t>
            </w:r>
            <w:r w:rsidRPr="007A480B">
              <w:rPr>
                <w:rFonts w:ascii="宋体" w:hAnsi="宋体"/>
                <w:bCs/>
                <w:sz w:val="21"/>
                <w:szCs w:val="21"/>
              </w:rPr>
              <w:fldChar w:fldCharType="end"/>
            </w:r>
            <w:r w:rsidRPr="007A480B">
              <w:rPr>
                <w:rFonts w:ascii="宋体" w:hAnsi="宋体" w:hint="eastAsia"/>
                <w:bCs/>
                <w:sz w:val="21"/>
                <w:szCs w:val="21"/>
              </w:rPr>
              <w:t>页</w:t>
            </w:r>
          </w:p>
        </w:sdtContent>
      </w:sdt>
    </w:sdtContent>
  </w:sdt>
  <w:p w14:paraId="5F133B55" w14:textId="77777777" w:rsidR="007A480B" w:rsidRDefault="007A480B">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1BDDF" w14:textId="77777777" w:rsidR="00E97C48" w:rsidRDefault="00E97C48" w:rsidP="007A480B">
      <w:r>
        <w:separator/>
      </w:r>
    </w:p>
  </w:footnote>
  <w:footnote w:type="continuationSeparator" w:id="0">
    <w:p w14:paraId="2DB5BA14" w14:textId="77777777" w:rsidR="00E97C48" w:rsidRDefault="00E97C48" w:rsidP="007A48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285EA18"/>
    <w:multiLevelType w:val="singleLevel"/>
    <w:tmpl w:val="9285EA18"/>
    <w:lvl w:ilvl="0">
      <w:start w:val="1"/>
      <w:numFmt w:val="decimal"/>
      <w:suff w:val="nothing"/>
      <w:lvlText w:val="%1"/>
      <w:lvlJc w:val="left"/>
      <w:pPr>
        <w:ind w:left="0" w:firstLine="403"/>
      </w:pPr>
      <w:rPr>
        <w:rFonts w:hint="default"/>
      </w:rPr>
    </w:lvl>
  </w:abstractNum>
  <w:abstractNum w:abstractNumId="1" w15:restartNumberingAfterBreak="0">
    <w:nsid w:val="E275A70A"/>
    <w:multiLevelType w:val="singleLevel"/>
    <w:tmpl w:val="E275A70A"/>
    <w:lvl w:ilvl="0">
      <w:start w:val="1"/>
      <w:numFmt w:val="decimal"/>
      <w:suff w:val="nothing"/>
      <w:lvlText w:val="%1．"/>
      <w:lvlJc w:val="left"/>
      <w:pPr>
        <w:ind w:left="0" w:firstLine="400"/>
      </w:pPr>
      <w:rPr>
        <w:rFonts w:hint="default"/>
      </w:rPr>
    </w:lvl>
  </w:abstractNum>
  <w:abstractNum w:abstractNumId="2" w15:restartNumberingAfterBreak="0">
    <w:nsid w:val="FC1D1B69"/>
    <w:multiLevelType w:val="singleLevel"/>
    <w:tmpl w:val="FC1D1B69"/>
    <w:lvl w:ilvl="0">
      <w:start w:val="2"/>
      <w:numFmt w:val="chineseCounting"/>
      <w:suff w:val="nothing"/>
      <w:lvlText w:val="%1、"/>
      <w:lvlJc w:val="left"/>
      <w:rPr>
        <w:rFonts w:hint="eastAsia"/>
      </w:rPr>
    </w:lvl>
  </w:abstractNum>
  <w:abstractNum w:abstractNumId="3" w15:restartNumberingAfterBreak="0">
    <w:nsid w:val="1B1CDEAB"/>
    <w:multiLevelType w:val="singleLevel"/>
    <w:tmpl w:val="BFEE9474"/>
    <w:lvl w:ilvl="0">
      <w:start w:val="1"/>
      <w:numFmt w:val="decimal"/>
      <w:suff w:val="nothing"/>
      <w:lvlText w:val="（%1）"/>
      <w:lvlJc w:val="left"/>
      <w:pPr>
        <w:ind w:left="420" w:hanging="420"/>
      </w:pPr>
      <w:rPr>
        <w:rFonts w:ascii="仿宋_GB2312" w:eastAsia="仿宋_GB2312" w:hint="eastAsia"/>
      </w:rPr>
    </w:lvl>
  </w:abstractNum>
  <w:abstractNum w:abstractNumId="4" w15:restartNumberingAfterBreak="0">
    <w:nsid w:val="2DD10026"/>
    <w:multiLevelType w:val="singleLevel"/>
    <w:tmpl w:val="2DD10026"/>
    <w:lvl w:ilvl="0">
      <w:start w:val="1"/>
      <w:numFmt w:val="decimal"/>
      <w:suff w:val="nothing"/>
      <w:lvlText w:val="%1．"/>
      <w:lvlJc w:val="left"/>
      <w:pPr>
        <w:ind w:left="0" w:firstLine="400"/>
      </w:pPr>
      <w:rPr>
        <w:rFonts w:hint="default"/>
      </w:rPr>
    </w:lvl>
  </w:abstractNum>
  <w:abstractNum w:abstractNumId="5" w15:restartNumberingAfterBreak="0">
    <w:nsid w:val="4C7A1E99"/>
    <w:multiLevelType w:val="singleLevel"/>
    <w:tmpl w:val="728010C6"/>
    <w:lvl w:ilvl="0">
      <w:start w:val="1"/>
      <w:numFmt w:val="decimal"/>
      <w:suff w:val="nothing"/>
      <w:lvlText w:val="%1"/>
      <w:lvlJc w:val="left"/>
      <w:pPr>
        <w:ind w:left="0" w:firstLine="400"/>
      </w:pPr>
      <w:rPr>
        <w:rFonts w:hint="default"/>
      </w:rPr>
    </w:lvl>
  </w:abstractNum>
  <w:abstractNum w:abstractNumId="6" w15:restartNumberingAfterBreak="0">
    <w:nsid w:val="7F87D2F1"/>
    <w:multiLevelType w:val="singleLevel"/>
    <w:tmpl w:val="7F87D2F1"/>
    <w:lvl w:ilvl="0">
      <w:start w:val="1"/>
      <w:numFmt w:val="decimal"/>
      <w:pStyle w:val="a"/>
      <w:suff w:val="nothing"/>
      <w:lvlText w:val="%1．"/>
      <w:lvlJc w:val="left"/>
      <w:pPr>
        <w:ind w:left="0" w:firstLine="400"/>
      </w:pPr>
      <w:rPr>
        <w:rFonts w:ascii="仿宋_GB2312" w:eastAsia="仿宋_GB2312" w:hAnsi="仿宋_GB2312" w:cs="仿宋_GB2312"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kNWI5NzMxMDc2N2VlYWFkNzQwNWM0ODU0YTI0Y2UifQ=="/>
  </w:docVars>
  <w:rsids>
    <w:rsidRoot w:val="00B91EAD"/>
    <w:rsid w:val="000545D3"/>
    <w:rsid w:val="000E08DC"/>
    <w:rsid w:val="001439D3"/>
    <w:rsid w:val="00276630"/>
    <w:rsid w:val="002F32D3"/>
    <w:rsid w:val="004A64DE"/>
    <w:rsid w:val="00573298"/>
    <w:rsid w:val="00577DBA"/>
    <w:rsid w:val="0062301C"/>
    <w:rsid w:val="007319D3"/>
    <w:rsid w:val="00753E37"/>
    <w:rsid w:val="007A480B"/>
    <w:rsid w:val="007B7754"/>
    <w:rsid w:val="00B91EAD"/>
    <w:rsid w:val="00C219D9"/>
    <w:rsid w:val="00C83A89"/>
    <w:rsid w:val="00D0574B"/>
    <w:rsid w:val="00D6701A"/>
    <w:rsid w:val="00E42073"/>
    <w:rsid w:val="00E76E80"/>
    <w:rsid w:val="00E97C48"/>
    <w:rsid w:val="00F27FEE"/>
    <w:rsid w:val="03A75853"/>
    <w:rsid w:val="06540450"/>
    <w:rsid w:val="094B0D05"/>
    <w:rsid w:val="0D2C4337"/>
    <w:rsid w:val="12A93488"/>
    <w:rsid w:val="1DE31CC5"/>
    <w:rsid w:val="1E5E57C0"/>
    <w:rsid w:val="1EC66B01"/>
    <w:rsid w:val="2239426F"/>
    <w:rsid w:val="25B14D18"/>
    <w:rsid w:val="27335D35"/>
    <w:rsid w:val="415777EA"/>
    <w:rsid w:val="520004DA"/>
    <w:rsid w:val="55CF2541"/>
    <w:rsid w:val="69ED1D1B"/>
    <w:rsid w:val="7B031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0686C"/>
  <w15:docId w15:val="{7290D667-346C-46C0-8192-D8A755D6D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qFormat="1"/>
    <w:lsdException w:name="footer" w:uiPriority="99"/>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eastAsia="宋体" w:hAnsi="Calibri" w:cs="宋体"/>
      <w:kern w:val="2"/>
      <w:sz w:val="21"/>
      <w:szCs w:val="24"/>
    </w:rPr>
  </w:style>
  <w:style w:type="paragraph" w:styleId="4">
    <w:name w:val="heading 4"/>
    <w:basedOn w:val="a0"/>
    <w:next w:val="a0"/>
    <w:uiPriority w:val="9"/>
    <w:unhideWhenUsed/>
    <w:qFormat/>
    <w:pPr>
      <w:keepNext/>
      <w:keepLines/>
      <w:spacing w:line="560" w:lineRule="exact"/>
      <w:ind w:firstLineChars="200" w:firstLine="880"/>
      <w:outlineLvl w:val="3"/>
    </w:pPr>
    <w:rPr>
      <w:rFonts w:ascii="Times New Roman" w:eastAsia="仿宋_GB2312" w:hAnsi="Times New Roman" w:cstheme="majorBidi"/>
      <w:bCs/>
      <w:sz w:val="32"/>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uiPriority w:val="1"/>
    <w:qFormat/>
    <w:pPr>
      <w:spacing w:after="120"/>
    </w:pPr>
  </w:style>
  <w:style w:type="paragraph" w:styleId="40">
    <w:name w:val="index 4"/>
    <w:basedOn w:val="a0"/>
    <w:next w:val="a0"/>
    <w:qFormat/>
    <w:pPr>
      <w:spacing w:before="100"/>
      <w:ind w:left="960" w:hanging="240"/>
      <w:jc w:val="center"/>
    </w:pPr>
    <w:rPr>
      <w:rFonts w:ascii="仿宋_GB2312" w:eastAsia="仿宋_GB2312" w:cs="Mangal"/>
      <w:color w:val="000000"/>
      <w:kern w:val="0"/>
      <w:sz w:val="28"/>
      <w:szCs w:val="28"/>
    </w:rPr>
  </w:style>
  <w:style w:type="table" w:styleId="a5">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Paragraph"/>
    <w:basedOn w:val="a0"/>
    <w:autoRedefine/>
    <w:uiPriority w:val="34"/>
    <w:qFormat/>
    <w:pPr>
      <w:numPr>
        <w:numId w:val="1"/>
      </w:numPr>
      <w:adjustRightInd w:val="0"/>
      <w:snapToGrid w:val="0"/>
      <w:spacing w:line="560" w:lineRule="exact"/>
    </w:pPr>
  </w:style>
  <w:style w:type="paragraph" w:customStyle="1" w:styleId="a6">
    <w:name w:val="表"/>
    <w:basedOn w:val="a4"/>
    <w:next w:val="a4"/>
    <w:qFormat/>
  </w:style>
  <w:style w:type="paragraph" w:customStyle="1" w:styleId="1">
    <w:name w:val="修订1"/>
    <w:hidden/>
    <w:uiPriority w:val="99"/>
    <w:unhideWhenUsed/>
    <w:qFormat/>
    <w:rPr>
      <w:rFonts w:ascii="Calibri" w:eastAsia="宋体" w:hAnsi="Calibri" w:cs="宋体"/>
      <w:kern w:val="2"/>
      <w:sz w:val="21"/>
      <w:szCs w:val="24"/>
    </w:rPr>
  </w:style>
  <w:style w:type="paragraph" w:styleId="a7">
    <w:name w:val="header"/>
    <w:basedOn w:val="a0"/>
    <w:link w:val="a8"/>
    <w:rsid w:val="007A480B"/>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1"/>
    <w:link w:val="a7"/>
    <w:rsid w:val="007A480B"/>
    <w:rPr>
      <w:rFonts w:ascii="Calibri" w:eastAsia="宋体" w:hAnsi="Calibri" w:cs="宋体"/>
      <w:kern w:val="2"/>
      <w:sz w:val="18"/>
      <w:szCs w:val="18"/>
    </w:rPr>
  </w:style>
  <w:style w:type="paragraph" w:styleId="a9">
    <w:name w:val="footer"/>
    <w:basedOn w:val="a0"/>
    <w:link w:val="aa"/>
    <w:uiPriority w:val="99"/>
    <w:rsid w:val="007A480B"/>
    <w:pPr>
      <w:tabs>
        <w:tab w:val="center" w:pos="4153"/>
        <w:tab w:val="right" w:pos="8306"/>
      </w:tabs>
      <w:snapToGrid w:val="0"/>
      <w:jc w:val="left"/>
    </w:pPr>
    <w:rPr>
      <w:sz w:val="18"/>
      <w:szCs w:val="18"/>
    </w:rPr>
  </w:style>
  <w:style w:type="character" w:customStyle="1" w:styleId="aa">
    <w:name w:val="页脚 字符"/>
    <w:basedOn w:val="a1"/>
    <w:link w:val="a9"/>
    <w:uiPriority w:val="99"/>
    <w:rsid w:val="007A480B"/>
    <w:rPr>
      <w:rFonts w:ascii="Calibri" w:eastAsia="宋体" w:hAnsi="Calibri" w:cs="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863</Words>
  <Characters>4925</Characters>
  <Application>Microsoft Office Word</Application>
  <DocSecurity>0</DocSecurity>
  <Lines>41</Lines>
  <Paragraphs>11</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15117</dc:creator>
  <cp:lastModifiedBy>庞瑞卿</cp:lastModifiedBy>
  <cp:revision>16</cp:revision>
  <dcterms:created xsi:type="dcterms:W3CDTF">2024-10-18T06:42:00Z</dcterms:created>
  <dcterms:modified xsi:type="dcterms:W3CDTF">2024-12-27T12:44:00Z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1EFE020E75484305B82A848F90ADB5E7_12</vt:lpwstr>
  </property>
</Properties>
</file>