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D15" w:rsidRPr="00A679B2" w:rsidRDefault="00F53D15" w:rsidP="00E747CF">
      <w:pPr>
        <w:spacing w:line="572" w:lineRule="exact"/>
        <w:rPr>
          <w:rFonts w:ascii="Times New Roman" w:eastAsia="黑体" w:hAnsi="Times New Roman" w:cs="Times New Roman"/>
          <w:sz w:val="32"/>
          <w:szCs w:val="32"/>
          <w:lang w:eastAsia="zh-CN"/>
        </w:rPr>
      </w:pPr>
      <w:r w:rsidRPr="00A679B2">
        <w:rPr>
          <w:rFonts w:ascii="Times New Roman" w:eastAsia="黑体" w:hAnsi="Times New Roman" w:cs="Times New Roman"/>
          <w:sz w:val="32"/>
          <w:szCs w:val="32"/>
          <w:lang w:eastAsia="zh-CN"/>
        </w:rPr>
        <w:t>附件</w:t>
      </w:r>
      <w:r w:rsidR="00590C3C" w:rsidRPr="00A679B2">
        <w:rPr>
          <w:rFonts w:ascii="Times New Roman" w:eastAsia="黑体" w:hAnsi="Times New Roman" w:cs="Times New Roman"/>
          <w:sz w:val="32"/>
          <w:szCs w:val="32"/>
          <w:lang w:eastAsia="zh-CN"/>
        </w:rPr>
        <w:t>4</w:t>
      </w:r>
    </w:p>
    <w:p w:rsidR="00E747CF" w:rsidRPr="00A679B2" w:rsidRDefault="00E747CF" w:rsidP="00E747CF">
      <w:pPr>
        <w:spacing w:line="572" w:lineRule="exact"/>
        <w:rPr>
          <w:rFonts w:ascii="Times New Roman" w:eastAsia="黑体" w:hAnsi="Times New Roman" w:cs="Times New Roman"/>
          <w:sz w:val="32"/>
          <w:szCs w:val="32"/>
          <w:lang w:eastAsia="zh-CN"/>
        </w:rPr>
      </w:pPr>
    </w:p>
    <w:p w:rsidR="001D0DC0" w:rsidRPr="00A679B2" w:rsidRDefault="00007516" w:rsidP="001D0DC0">
      <w:pPr>
        <w:spacing w:line="572" w:lineRule="exact"/>
        <w:jc w:val="center"/>
        <w:rPr>
          <w:rFonts w:ascii="Times New Roman" w:eastAsia="方正小标宋简体" w:hAnsi="Times New Roman" w:cs="Times New Roman"/>
          <w:sz w:val="44"/>
          <w:szCs w:val="44"/>
          <w:lang w:eastAsia="zh-CN"/>
        </w:rPr>
      </w:pPr>
      <w:r w:rsidRPr="00A679B2">
        <w:rPr>
          <w:rFonts w:ascii="Times New Roman" w:eastAsia="方正小标宋简体" w:hAnsi="Times New Roman" w:cs="Times New Roman"/>
          <w:sz w:val="44"/>
          <w:szCs w:val="44"/>
          <w:lang w:eastAsia="zh-CN"/>
        </w:rPr>
        <w:t>药品注册核查要点和判定原则</w:t>
      </w:r>
    </w:p>
    <w:p w:rsidR="009C261B" w:rsidRPr="00A679B2" w:rsidRDefault="001D0DC0" w:rsidP="001D0DC0">
      <w:pPr>
        <w:spacing w:line="572" w:lineRule="exact"/>
        <w:jc w:val="center"/>
        <w:rPr>
          <w:rFonts w:ascii="Times New Roman" w:eastAsia="方正小标宋简体" w:hAnsi="Times New Roman" w:cs="Times New Roman"/>
          <w:sz w:val="44"/>
          <w:szCs w:val="44"/>
          <w:lang w:eastAsia="zh-CN"/>
        </w:rPr>
      </w:pPr>
      <w:r w:rsidRPr="00A679B2">
        <w:rPr>
          <w:rFonts w:ascii="Times New Roman" w:eastAsia="方正小标宋简体" w:hAnsi="Times New Roman" w:cs="Times New Roman"/>
          <w:sz w:val="44"/>
          <w:szCs w:val="44"/>
          <w:lang w:eastAsia="zh-CN"/>
        </w:rPr>
        <w:t>（征求意见稿）</w:t>
      </w:r>
      <w:r w:rsidR="0069527D" w:rsidRPr="00A679B2">
        <w:rPr>
          <w:rFonts w:ascii="Times New Roman" w:eastAsia="方正小标宋简体" w:hAnsi="Times New Roman" w:cs="Times New Roman"/>
          <w:sz w:val="44"/>
          <w:szCs w:val="44"/>
          <w:lang w:eastAsia="zh-CN"/>
        </w:rPr>
        <w:t>起草说明</w:t>
      </w:r>
    </w:p>
    <w:p w:rsidR="00F53D15" w:rsidRPr="00A679B2" w:rsidRDefault="00A679B2" w:rsidP="00A679B2">
      <w:pPr>
        <w:tabs>
          <w:tab w:val="left" w:pos="6083"/>
        </w:tabs>
        <w:spacing w:line="572" w:lineRule="exact"/>
        <w:ind w:firstLine="567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ab/>
      </w:r>
    </w:p>
    <w:p w:rsidR="007845F1" w:rsidRPr="00A679B2" w:rsidRDefault="00007516" w:rsidP="00E747CF">
      <w:pPr>
        <w:spacing w:line="572" w:lineRule="exact"/>
        <w:ind w:firstLine="567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为落实药品</w:t>
      </w:r>
      <w:proofErr w:type="gramStart"/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审评审批</w:t>
      </w:r>
      <w:proofErr w:type="gramEnd"/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制度改革要求，贯彻实施新修订《药品注册管理办法》</w:t>
      </w:r>
      <w:r w:rsidR="00A679B2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（以下简称《办法》）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，</w:t>
      </w:r>
      <w:r w:rsidR="00A679B2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国家药品监督管理局食品药品审核查验中心（以下简称核查中心）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组织起草了</w:t>
      </w:r>
      <w:r w:rsidR="00F83FED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《药品注册核查要点和判定原则（药理毒理学研究）（征求意见稿）》、《药品注册核查要点和判定原则（生物等效性试验和</w:t>
      </w:r>
      <w:r w:rsidR="00CE27DE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药物</w:t>
      </w:r>
      <w:r w:rsidR="00CE27DE" w:rsidRPr="00A679B2">
        <w:rPr>
          <w:rFonts w:ascii="宋体" w:eastAsia="宋体" w:hAnsi="宋体" w:cs="宋体" w:hint="eastAsia"/>
          <w:sz w:val="30"/>
          <w:szCs w:val="30"/>
          <w:lang w:eastAsia="zh-CN"/>
        </w:rPr>
        <w:t>Ⅰ</w:t>
      </w:r>
      <w:r w:rsidR="00CE27DE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期临床试验</w:t>
      </w:r>
      <w:r w:rsidR="00F83FED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）（征求意见稿）》、《药品注册核查要点和判定原则（药物</w:t>
      </w:r>
      <w:r w:rsidR="00C57C85" w:rsidRPr="00A679B2">
        <w:rPr>
          <w:rFonts w:ascii="宋体" w:eastAsia="宋体" w:hAnsi="宋体" w:cs="宋体" w:hint="eastAsia"/>
          <w:sz w:val="30"/>
          <w:szCs w:val="30"/>
          <w:lang w:eastAsia="zh-CN"/>
        </w:rPr>
        <w:t>Ⅱ</w:t>
      </w:r>
      <w:r w:rsidR="00C57C85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、</w:t>
      </w:r>
      <w:r w:rsidR="00C57C85" w:rsidRPr="00A679B2">
        <w:rPr>
          <w:rFonts w:ascii="宋体" w:eastAsia="宋体" w:hAnsi="宋体" w:cs="宋体" w:hint="eastAsia"/>
          <w:sz w:val="30"/>
          <w:szCs w:val="30"/>
          <w:lang w:eastAsia="zh-CN"/>
        </w:rPr>
        <w:t>Ⅲ</w:t>
      </w:r>
      <w:r w:rsidR="00F83FED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期临床试验）（征求意见稿）》、《药品注册核查要点和判定原则（药学研制和生产现场）（征求意见稿）》</w:t>
      </w:r>
      <w:r w:rsidR="0006351E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。</w:t>
      </w:r>
    </w:p>
    <w:p w:rsidR="0069527D" w:rsidRPr="00A679B2" w:rsidRDefault="0069527D" w:rsidP="00E747CF">
      <w:pPr>
        <w:spacing w:line="572" w:lineRule="exact"/>
        <w:ind w:firstLine="567"/>
        <w:rPr>
          <w:rFonts w:ascii="Times New Roman" w:eastAsia="黑体" w:hAnsi="Times New Roman" w:cs="Times New Roman"/>
          <w:sz w:val="30"/>
          <w:szCs w:val="30"/>
          <w:lang w:eastAsia="zh-CN"/>
        </w:rPr>
      </w:pPr>
      <w:r w:rsidRPr="00A679B2">
        <w:rPr>
          <w:rFonts w:ascii="Times New Roman" w:eastAsia="黑体" w:hAnsi="Times New Roman" w:cs="Times New Roman"/>
          <w:sz w:val="30"/>
          <w:szCs w:val="30"/>
          <w:lang w:eastAsia="zh-CN"/>
        </w:rPr>
        <w:t>一、起草背景</w:t>
      </w:r>
    </w:p>
    <w:p w:rsidR="00D14520" w:rsidRPr="00A679B2" w:rsidRDefault="004E3714" w:rsidP="00CB7018">
      <w:pPr>
        <w:spacing w:line="572" w:lineRule="exact"/>
        <w:ind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2008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年</w:t>
      </w:r>
      <w:r w:rsidR="00A679B2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，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原国家食品药品监督管理局发布</w:t>
      </w:r>
      <w:r w:rsidR="005650FA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《关于印发药品注册现场核查管理规定的通知》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（国</w:t>
      </w:r>
      <w:proofErr w:type="gramStart"/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食药监注</w:t>
      </w:r>
      <w:r w:rsidR="00302CD8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〔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2008</w:t>
      </w:r>
      <w:r w:rsidR="00302CD8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〕</w:t>
      </w:r>
      <w:proofErr w:type="gramEnd"/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255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号），</w:t>
      </w:r>
      <w:r w:rsidR="00CB7018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对药品注册现场核查的程序、要点和判定原则进行了规范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。</w:t>
      </w:r>
    </w:p>
    <w:p w:rsidR="005650FA" w:rsidRPr="00A679B2" w:rsidRDefault="005650FA" w:rsidP="00CB7018">
      <w:pPr>
        <w:spacing w:line="572" w:lineRule="exact"/>
        <w:ind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2017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年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11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月，原国家食品药品</w:t>
      </w:r>
      <w:r w:rsidR="00B750C2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监督管理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总局发布《关于调整药品注册受理工作的公告</w:t>
      </w:r>
      <w:proofErr w:type="gramStart"/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》</w:t>
      </w:r>
      <w:proofErr w:type="gramEnd"/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（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2017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年第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134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号）</w:t>
      </w:r>
      <w:r w:rsidR="00CB7018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，要求核查中心统一组织开展药品注册现场核查</w:t>
      </w:r>
      <w:r w:rsidR="004E3714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，但核查要点和判定原则未做调整。</w:t>
      </w:r>
    </w:p>
    <w:p w:rsidR="004E3714" w:rsidRPr="00A679B2" w:rsidRDefault="004E3714" w:rsidP="00CB7018">
      <w:pPr>
        <w:spacing w:line="572" w:lineRule="exact"/>
        <w:ind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《办法》</w:t>
      </w:r>
      <w:r w:rsidR="00472A48"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对</w:t>
      </w:r>
      <w:r w:rsidR="009C30FE" w:rsidRPr="00C20467">
        <w:rPr>
          <w:rFonts w:ascii="Times New Roman" w:eastAsia="仿宋_GB2312" w:hAnsi="Times New Roman" w:cs="Times New Roman"/>
          <w:sz w:val="30"/>
          <w:szCs w:val="30"/>
          <w:lang w:eastAsia="zh-CN"/>
        </w:rPr>
        <w:t>药品注册核查</w:t>
      </w:r>
      <w:r w:rsidR="00DE3A7D"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工作</w:t>
      </w:r>
      <w:bookmarkStart w:id="0" w:name="_GoBack"/>
      <w:bookmarkEnd w:id="0"/>
      <w:r w:rsidR="00472A48"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提出</w:t>
      </w:r>
      <w:r w:rsidR="00472A48">
        <w:rPr>
          <w:rFonts w:ascii="Times New Roman" w:eastAsia="仿宋_GB2312" w:hAnsi="Times New Roman" w:cs="Times New Roman"/>
          <w:sz w:val="30"/>
          <w:szCs w:val="30"/>
          <w:lang w:eastAsia="zh-CN"/>
        </w:rPr>
        <w:t>了新的要求</w:t>
      </w:r>
      <w:r w:rsidR="00472A48"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。</w:t>
      </w:r>
      <w:r w:rsidRPr="00C20467">
        <w:rPr>
          <w:rFonts w:ascii="Times New Roman" w:eastAsia="仿宋_GB2312" w:hAnsi="Times New Roman" w:cs="Times New Roman"/>
          <w:sz w:val="30"/>
          <w:szCs w:val="30"/>
          <w:lang w:eastAsia="zh-CN"/>
        </w:rPr>
        <w:t>药品注册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核查不是全体系的药品生产质量管理规范检查，其主要目的是核实申报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lastRenderedPageBreak/>
        <w:t>资料的真实性、一致性以及药品上市商业化生产条件，检查药品研制的合</w:t>
      </w:r>
      <w:proofErr w:type="gramStart"/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规</w:t>
      </w:r>
      <w:proofErr w:type="gramEnd"/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性、数据可靠性等。</w:t>
      </w:r>
      <w:r w:rsidR="00472A48"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因此</w:t>
      </w:r>
      <w:r w:rsidR="00472A48">
        <w:rPr>
          <w:rFonts w:ascii="Times New Roman" w:eastAsia="仿宋_GB2312" w:hAnsi="Times New Roman" w:cs="Times New Roman"/>
          <w:sz w:val="30"/>
          <w:szCs w:val="30"/>
          <w:lang w:eastAsia="zh-CN"/>
        </w:rPr>
        <w:t>，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有必要起草《药品注册核查要点和判定原则》</w:t>
      </w:r>
      <w:r w:rsidR="00472A48"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，以适应</w:t>
      </w:r>
      <w:r w:rsidR="00472A48">
        <w:rPr>
          <w:rFonts w:ascii="Times New Roman" w:eastAsia="仿宋_GB2312" w:hAnsi="Times New Roman" w:cs="Times New Roman"/>
          <w:sz w:val="30"/>
          <w:szCs w:val="30"/>
          <w:lang w:eastAsia="zh-CN"/>
        </w:rPr>
        <w:t>新的</w:t>
      </w:r>
      <w:r w:rsidR="00472A48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法律法规要求</w:t>
      </w:r>
      <w:r w:rsidR="00472A48"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。</w:t>
      </w:r>
    </w:p>
    <w:p w:rsidR="004E3714" w:rsidRPr="00A679B2" w:rsidRDefault="004E3714" w:rsidP="00E747CF">
      <w:pPr>
        <w:spacing w:line="572" w:lineRule="exact"/>
        <w:ind w:firstLineChars="200" w:firstLine="600"/>
        <w:rPr>
          <w:rFonts w:ascii="Times New Roman" w:eastAsia="黑体" w:hAnsi="Times New Roman" w:cs="Times New Roman"/>
          <w:sz w:val="30"/>
          <w:szCs w:val="30"/>
          <w:lang w:eastAsia="zh-CN"/>
        </w:rPr>
      </w:pPr>
      <w:r w:rsidRPr="00A679B2">
        <w:rPr>
          <w:rFonts w:ascii="Times New Roman" w:eastAsia="黑体" w:hAnsi="Times New Roman" w:cs="Times New Roman"/>
          <w:sz w:val="30"/>
          <w:szCs w:val="30"/>
          <w:lang w:eastAsia="zh-CN"/>
        </w:rPr>
        <w:t>二、起草经过</w:t>
      </w:r>
    </w:p>
    <w:p w:rsidR="004E3714" w:rsidRPr="00A679B2" w:rsidRDefault="004E3714" w:rsidP="00CB7018">
      <w:pPr>
        <w:spacing w:line="572" w:lineRule="exact"/>
        <w:ind w:firstLine="567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核查中心在深入学习领会《</w:t>
      </w:r>
      <w:r w:rsidR="009F3C66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办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法》精神的基础上，研究借鉴国际经验，结合药品</w:t>
      </w:r>
      <w:proofErr w:type="gramStart"/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审评审批</w:t>
      </w:r>
      <w:proofErr w:type="gramEnd"/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改革中</w:t>
      </w:r>
      <w:r w:rsidR="004B3F16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药品注册核查</w:t>
      </w:r>
      <w:r w:rsidR="005B1BEA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的经验和做法，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将</w:t>
      </w:r>
      <w:r w:rsidR="005B1BEA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药品注册现场核查</w:t>
      </w:r>
      <w:r w:rsidR="00C20467"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的要点和判定原则</w:t>
      </w:r>
      <w:r w:rsidR="005B1BEA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分为</w:t>
      </w:r>
      <w:r w:rsidR="00CB7018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药理毒理学研究、</w:t>
      </w:r>
      <w:r w:rsidR="00F83FED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临床试验、生物等效性试验、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药学研制</w:t>
      </w:r>
      <w:r w:rsidR="005B1BEA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和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生产现场</w:t>
      </w:r>
      <w:r w:rsidR="009C30FE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核查</w:t>
      </w:r>
      <w:r w:rsidR="005B1BEA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4</w:t>
      </w:r>
      <w:r w:rsidR="005B1BEA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种类型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。</w:t>
      </w:r>
    </w:p>
    <w:p w:rsidR="004E3714" w:rsidRPr="00A679B2" w:rsidRDefault="004E3714" w:rsidP="00B81361">
      <w:pPr>
        <w:spacing w:line="572" w:lineRule="exact"/>
        <w:ind w:firstLine="567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 w:rsidRPr="00184C80">
        <w:rPr>
          <w:rFonts w:ascii="Times New Roman" w:eastAsia="仿宋_GB2312" w:hAnsi="Times New Roman" w:cs="Times New Roman"/>
          <w:sz w:val="30"/>
          <w:szCs w:val="30"/>
          <w:lang w:eastAsia="zh-CN"/>
        </w:rPr>
        <w:t>在</w:t>
      </w:r>
      <w:r w:rsidR="005B1BEA" w:rsidRPr="00184C80">
        <w:rPr>
          <w:rFonts w:ascii="Times New Roman" w:eastAsia="仿宋_GB2312" w:hAnsi="Times New Roman" w:cs="Times New Roman"/>
          <w:sz w:val="30"/>
          <w:szCs w:val="30"/>
          <w:lang w:eastAsia="zh-CN"/>
        </w:rPr>
        <w:t>国家药品监督管理局</w:t>
      </w:r>
      <w:r w:rsidR="005650FA" w:rsidRPr="00184C80">
        <w:rPr>
          <w:rFonts w:ascii="Times New Roman" w:eastAsia="仿宋_GB2312" w:hAnsi="Times New Roman" w:cs="Times New Roman"/>
          <w:sz w:val="30"/>
          <w:szCs w:val="30"/>
          <w:lang w:eastAsia="zh-CN"/>
        </w:rPr>
        <w:t>起草</w:t>
      </w:r>
      <w:r w:rsidR="005B1BEA" w:rsidRPr="00184C80">
        <w:rPr>
          <w:rFonts w:ascii="Times New Roman" w:eastAsia="仿宋_GB2312" w:hAnsi="Times New Roman" w:cs="Times New Roman"/>
          <w:sz w:val="30"/>
          <w:szCs w:val="30"/>
          <w:lang w:eastAsia="zh-CN"/>
        </w:rPr>
        <w:t>新</w:t>
      </w:r>
      <w:r w:rsidR="005650FA" w:rsidRPr="00184C80">
        <w:rPr>
          <w:rFonts w:ascii="Times New Roman" w:eastAsia="仿宋_GB2312" w:hAnsi="Times New Roman" w:cs="Times New Roman"/>
          <w:sz w:val="30"/>
          <w:szCs w:val="30"/>
          <w:lang w:eastAsia="zh-CN"/>
        </w:rPr>
        <w:t>《办法》</w:t>
      </w:r>
      <w:r w:rsidR="00184C80"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的</w:t>
      </w:r>
      <w:r w:rsidR="000045F6" w:rsidRPr="00184C80"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同时</w:t>
      </w:r>
      <w:r w:rsidRPr="00184C80">
        <w:rPr>
          <w:rFonts w:ascii="Times New Roman" w:eastAsia="仿宋_GB2312" w:hAnsi="Times New Roman" w:cs="Times New Roman"/>
          <w:sz w:val="30"/>
          <w:szCs w:val="30"/>
          <w:lang w:eastAsia="zh-CN"/>
        </w:rPr>
        <w:t>，核查中心</w:t>
      </w:r>
      <w:r w:rsidR="004B3F16" w:rsidRPr="00184C80">
        <w:rPr>
          <w:rFonts w:ascii="Times New Roman" w:eastAsia="仿宋_GB2312" w:hAnsi="Times New Roman" w:cs="Times New Roman"/>
          <w:sz w:val="30"/>
          <w:szCs w:val="30"/>
          <w:lang w:eastAsia="zh-CN"/>
        </w:rPr>
        <w:t>即</w:t>
      </w:r>
      <w:r w:rsidR="005B1BEA" w:rsidRPr="00184C80">
        <w:rPr>
          <w:rFonts w:ascii="Times New Roman" w:eastAsia="仿宋_GB2312" w:hAnsi="Times New Roman" w:cs="Times New Roman"/>
          <w:sz w:val="30"/>
          <w:szCs w:val="30"/>
          <w:lang w:eastAsia="zh-CN"/>
        </w:rPr>
        <w:t>着手研究</w:t>
      </w:r>
      <w:r w:rsidR="00D87E78" w:rsidRPr="00184C80">
        <w:rPr>
          <w:rFonts w:ascii="Times New Roman" w:eastAsia="仿宋_GB2312" w:hAnsi="Times New Roman" w:cs="Times New Roman"/>
          <w:sz w:val="30"/>
          <w:szCs w:val="30"/>
          <w:lang w:eastAsia="zh-CN"/>
        </w:rPr>
        <w:t>修订</w:t>
      </w:r>
      <w:r w:rsidR="005650FA" w:rsidRPr="00184C80">
        <w:rPr>
          <w:rFonts w:ascii="Times New Roman" w:eastAsia="仿宋_GB2312" w:hAnsi="Times New Roman" w:cs="Times New Roman"/>
          <w:sz w:val="30"/>
          <w:szCs w:val="30"/>
          <w:lang w:eastAsia="zh-CN"/>
        </w:rPr>
        <w:t>药品注册核查要点和判定原则</w:t>
      </w:r>
      <w:r w:rsidR="005B1BEA" w:rsidRPr="00184C80">
        <w:rPr>
          <w:rFonts w:ascii="Times New Roman" w:eastAsia="仿宋_GB2312" w:hAnsi="Times New Roman" w:cs="Times New Roman"/>
          <w:sz w:val="30"/>
          <w:szCs w:val="30"/>
          <w:lang w:eastAsia="zh-CN"/>
        </w:rPr>
        <w:t>。</w:t>
      </w:r>
      <w:r w:rsidR="005650FA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2019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年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6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月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6</w:t>
      </w:r>
      <w:r w:rsidR="00F83FED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日，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核查中心组织</w:t>
      </w:r>
      <w:r w:rsidR="00E3156C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部分省市</w:t>
      </w:r>
      <w:r w:rsidR="005650FA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药品</w:t>
      </w:r>
      <w:r w:rsidR="00E3156C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注册、</w:t>
      </w:r>
      <w:r w:rsidR="005650FA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审评、</w:t>
      </w:r>
      <w:r w:rsidR="00D87E78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核查</w:t>
      </w:r>
      <w:r w:rsidR="005650FA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等方面的专家研讨药品注册</w:t>
      </w:r>
      <w:r w:rsidR="00D87E78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核查</w:t>
      </w:r>
      <w:r w:rsidR="005650FA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原则、标准和要求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；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2019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年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7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月</w:t>
      </w:r>
      <w:r w:rsidR="00933CC8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、</w:t>
      </w:r>
      <w:r w:rsidR="007C5F6F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11</w:t>
      </w:r>
      <w:r w:rsidR="007C5F6F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月</w:t>
      </w:r>
      <w:r w:rsidR="00933CC8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和</w:t>
      </w:r>
      <w:r w:rsidR="00933CC8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2020</w:t>
      </w:r>
      <w:r w:rsidR="00933CC8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年</w:t>
      </w:r>
      <w:r w:rsidR="00933CC8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1</w:t>
      </w:r>
      <w:r w:rsidR="00933CC8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月</w:t>
      </w:r>
      <w:r w:rsidR="007C5F6F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，核查中心</w:t>
      </w:r>
      <w:r w:rsidR="00933CC8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又多次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组织专家</w:t>
      </w:r>
      <w:r w:rsidR="007C5F6F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和</w:t>
      </w:r>
      <w:proofErr w:type="gramStart"/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药审中心</w:t>
      </w:r>
      <w:proofErr w:type="gramEnd"/>
      <w:r w:rsidR="007C5F6F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相关处室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负责人</w:t>
      </w:r>
      <w:r w:rsidR="004B3F16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对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药品注册</w:t>
      </w:r>
      <w:r w:rsidR="006C22B4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核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查</w:t>
      </w:r>
      <w:r w:rsidR="006C22B4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的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原则</w:t>
      </w:r>
      <w:r w:rsidR="00D150B5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和要求</w:t>
      </w:r>
      <w:r w:rsidR="006C22B4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进行了研究</w:t>
      </w:r>
      <w:r w:rsidR="00933CC8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，并形成了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药品注册核查要点与判定原则草案</w:t>
      </w:r>
      <w:r w:rsidR="00D87E78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。之后，又</w:t>
      </w:r>
      <w:r w:rsidR="00933CC8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多次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征求</w:t>
      </w:r>
      <w:r w:rsidR="00D87E78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药品注册司、</w:t>
      </w:r>
      <w:proofErr w:type="gramStart"/>
      <w:r w:rsidR="00D87E78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药审中心</w:t>
      </w:r>
      <w:proofErr w:type="gramEnd"/>
      <w:r w:rsidR="00933CC8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、部分省级局</w:t>
      </w:r>
      <w:r w:rsidR="00D87E78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及业内专家</w:t>
      </w:r>
      <w:r w:rsidR="00933CC8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的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意见</w:t>
      </w:r>
      <w:r w:rsidR="00933CC8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，</w:t>
      </w:r>
      <w:r w:rsidR="009C30FE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修订</w:t>
      </w:r>
      <w:r w:rsidR="00D87E78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形成了</w:t>
      </w:r>
      <w:r w:rsidR="001D0DC0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药理毒理学研究核查要点和判定原则，生物等效性试验和药物</w:t>
      </w:r>
      <w:r w:rsidR="001D0DC0" w:rsidRPr="00A679B2">
        <w:rPr>
          <w:rFonts w:ascii="宋体" w:eastAsia="宋体" w:hAnsi="宋体" w:cs="宋体" w:hint="eastAsia"/>
          <w:sz w:val="30"/>
          <w:szCs w:val="30"/>
          <w:lang w:eastAsia="zh-CN"/>
        </w:rPr>
        <w:t>Ⅰ</w:t>
      </w:r>
      <w:r w:rsidR="001D0DC0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期临床试验核查要点和判定原则，药物</w:t>
      </w:r>
      <w:r w:rsidR="001D0DC0" w:rsidRPr="00A679B2">
        <w:rPr>
          <w:rFonts w:ascii="宋体" w:eastAsia="宋体" w:hAnsi="宋体" w:cs="宋体" w:hint="eastAsia"/>
          <w:sz w:val="30"/>
          <w:szCs w:val="30"/>
          <w:lang w:eastAsia="zh-CN"/>
        </w:rPr>
        <w:t>Ⅱ</w:t>
      </w:r>
      <w:r w:rsidR="001D0DC0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、</w:t>
      </w:r>
      <w:r w:rsidR="001D0DC0" w:rsidRPr="00A679B2">
        <w:rPr>
          <w:rFonts w:ascii="宋体" w:eastAsia="宋体" w:hAnsi="宋体" w:cs="宋体" w:hint="eastAsia"/>
          <w:sz w:val="30"/>
          <w:szCs w:val="30"/>
          <w:lang w:eastAsia="zh-CN"/>
        </w:rPr>
        <w:t>Ⅲ</w:t>
      </w:r>
      <w:r w:rsidR="001D0DC0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期临床试验核查要点和判定原则，药学研制和生产现场核查要点和判定原则等</w:t>
      </w:r>
      <w:r w:rsidR="001D0DC0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4</w:t>
      </w:r>
      <w:r w:rsidR="001D0DC0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个征求意见稿。</w:t>
      </w:r>
    </w:p>
    <w:p w:rsidR="0069527D" w:rsidRPr="00A679B2" w:rsidRDefault="0069527D" w:rsidP="00E747CF">
      <w:pPr>
        <w:spacing w:line="572" w:lineRule="exact"/>
        <w:ind w:firstLine="567"/>
        <w:rPr>
          <w:rFonts w:ascii="Times New Roman" w:eastAsia="黑体" w:hAnsi="Times New Roman" w:cs="Times New Roman"/>
          <w:sz w:val="30"/>
          <w:szCs w:val="30"/>
          <w:lang w:eastAsia="zh-CN"/>
        </w:rPr>
      </w:pPr>
      <w:r w:rsidRPr="00A679B2">
        <w:rPr>
          <w:rFonts w:ascii="Times New Roman" w:eastAsia="黑体" w:hAnsi="Times New Roman" w:cs="Times New Roman"/>
          <w:sz w:val="30"/>
          <w:szCs w:val="30"/>
          <w:lang w:eastAsia="zh-CN"/>
        </w:rPr>
        <w:t>三、主要</w:t>
      </w:r>
      <w:r w:rsidR="004B3F16" w:rsidRPr="00A679B2">
        <w:rPr>
          <w:rFonts w:ascii="Times New Roman" w:eastAsia="黑体" w:hAnsi="Times New Roman" w:cs="Times New Roman"/>
          <w:sz w:val="30"/>
          <w:szCs w:val="30"/>
          <w:lang w:eastAsia="zh-CN"/>
        </w:rPr>
        <w:t>框架和</w:t>
      </w:r>
      <w:r w:rsidRPr="00A679B2">
        <w:rPr>
          <w:rFonts w:ascii="Times New Roman" w:eastAsia="黑体" w:hAnsi="Times New Roman" w:cs="Times New Roman"/>
          <w:sz w:val="30"/>
          <w:szCs w:val="30"/>
          <w:lang w:eastAsia="zh-CN"/>
        </w:rPr>
        <w:t>内容</w:t>
      </w:r>
    </w:p>
    <w:p w:rsidR="00F83FED" w:rsidRPr="00A679B2" w:rsidRDefault="00792915" w:rsidP="00B81361">
      <w:pPr>
        <w:spacing w:line="572" w:lineRule="exact"/>
        <w:ind w:firstLine="567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每种类型的</w:t>
      </w:r>
      <w:r w:rsidR="00F83FED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核查要点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和判定原则</w:t>
      </w:r>
      <w:r w:rsidR="00F83FED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均分为目的、范围、核查要点和判定原则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4</w:t>
      </w:r>
      <w:r w:rsidR="00F83FED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部分。</w:t>
      </w:r>
      <w:r w:rsidR="00782A5E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根据</w:t>
      </w:r>
      <w:r w:rsidR="00184C80"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对</w:t>
      </w:r>
      <w:r w:rsidR="00782A5E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药品审评中可能</w:t>
      </w:r>
      <w:r w:rsidR="00E81EFC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影响</w:t>
      </w:r>
      <w:r w:rsidR="00782A5E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药品安全性、有效</w:t>
      </w:r>
      <w:r w:rsidR="00782A5E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lastRenderedPageBreak/>
        <w:t>性、质量可控性评估的程度，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核查结果</w:t>
      </w:r>
      <w:r w:rsidR="00782A5E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分为</w:t>
      </w:r>
      <w:r w:rsidR="00782A5E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“</w:t>
      </w:r>
      <w:r w:rsidR="00782A5E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通过</w:t>
      </w:r>
      <w:r w:rsidR="00782A5E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”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、</w:t>
      </w:r>
      <w:r w:rsidR="00782A5E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“</w:t>
      </w:r>
      <w:r w:rsidR="00782A5E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需审评重点关注</w:t>
      </w:r>
      <w:r w:rsidR="000045F6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”</w:t>
      </w:r>
      <w:r w:rsidR="000045F6"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和</w:t>
      </w:r>
      <w:r w:rsidR="00782A5E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“</w:t>
      </w:r>
      <w:r w:rsidR="00782A5E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不通过</w:t>
      </w:r>
      <w:r w:rsidR="00782A5E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”</w:t>
      </w:r>
      <w:r w:rsidR="00782A5E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。</w:t>
      </w:r>
    </w:p>
    <w:p w:rsidR="00F312BE" w:rsidRPr="00A679B2" w:rsidRDefault="00782A5E" w:rsidP="00B81361">
      <w:pPr>
        <w:spacing w:line="572" w:lineRule="exact"/>
        <w:ind w:firstLine="567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（一）《药品注册核查要点和判定原则（药理毒理学研究）（征求意见稿）》</w:t>
      </w:r>
      <w:r w:rsidR="00F312BE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分为</w:t>
      </w:r>
      <w:r w:rsidR="000B7683"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4</w:t>
      </w:r>
      <w:r w:rsidR="00F312BE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部分：</w:t>
      </w:r>
    </w:p>
    <w:p w:rsidR="00F312BE" w:rsidRPr="00A679B2" w:rsidRDefault="00F312BE" w:rsidP="00B81361">
      <w:pPr>
        <w:spacing w:line="572" w:lineRule="exact"/>
        <w:ind w:firstLine="567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第一部分为目的</w:t>
      </w:r>
      <w:r w:rsidR="00792915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。该部分</w:t>
      </w:r>
      <w:r w:rsidR="000B7683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进一步确认</w:t>
      </w:r>
      <w:r w:rsidR="000B7683"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了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药理毒理学研究注册现场核查的目的。</w:t>
      </w:r>
    </w:p>
    <w:p w:rsidR="00782A5E" w:rsidRPr="00A679B2" w:rsidRDefault="00F312BE" w:rsidP="00B81361">
      <w:pPr>
        <w:spacing w:line="572" w:lineRule="exact"/>
        <w:ind w:firstLine="567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第二部分为适用范围</w:t>
      </w:r>
      <w:r w:rsidR="00792915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。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该部分明确了本文件适用于</w:t>
      </w:r>
      <w:proofErr w:type="gramStart"/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药审中心</w:t>
      </w:r>
      <w:proofErr w:type="gramEnd"/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发起、核查中心组织实施的涉及药理毒理学研究的药品注册现场核查。</w:t>
      </w:r>
    </w:p>
    <w:p w:rsidR="00F312BE" w:rsidRPr="00A679B2" w:rsidRDefault="00F312BE" w:rsidP="00B81361">
      <w:pPr>
        <w:spacing w:line="572" w:lineRule="exact"/>
        <w:ind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第三部分为核查要点</w:t>
      </w:r>
      <w:r w:rsidR="00792915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。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该部分从研究机构和人员、设施、仪器设备、受试物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/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对照品、实验系统、生物样本、原始记录、其他等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8</w:t>
      </w:r>
      <w:r w:rsidR="00792915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个方面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提出了现场核查的要点。</w:t>
      </w:r>
    </w:p>
    <w:p w:rsidR="00F312BE" w:rsidRPr="00A679B2" w:rsidRDefault="00F312BE" w:rsidP="00B81361">
      <w:pPr>
        <w:adjustRightInd w:val="0"/>
        <w:spacing w:line="572" w:lineRule="exact"/>
        <w:ind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第四部分为判定原则</w:t>
      </w:r>
      <w:r w:rsidR="00792915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。</w:t>
      </w:r>
      <w:r w:rsidR="002E01A1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明确了</w:t>
      </w:r>
      <w:r w:rsidR="00764407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核查结果认定为</w:t>
      </w:r>
      <w:r w:rsidR="00E81EFC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“</w:t>
      </w:r>
      <w:r w:rsidR="00E81EFC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通过</w:t>
      </w:r>
      <w:r w:rsidR="00E81EFC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”</w:t>
      </w:r>
      <w:r w:rsidR="002E01A1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及</w:t>
      </w:r>
      <w:r w:rsidR="00E81EFC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“</w:t>
      </w:r>
      <w:r w:rsidR="00E81EFC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需审评重点关注</w:t>
      </w:r>
      <w:r w:rsidR="00E81EFC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”</w:t>
      </w:r>
      <w:r w:rsidR="002E01A1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的标准，并列明</w:t>
      </w:r>
      <w:r w:rsidR="000B7683"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了</w:t>
      </w:r>
      <w:r w:rsidR="000B7683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核查结果认定为</w:t>
      </w:r>
      <w:r w:rsidR="000B7683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“</w:t>
      </w:r>
      <w:r w:rsidR="000B7683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不通过</w:t>
      </w:r>
      <w:r w:rsidR="000B7683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”</w:t>
      </w:r>
      <w:r w:rsidR="000B7683"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的</w:t>
      </w:r>
      <w:r w:rsidR="00A326E1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3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种情形</w:t>
      </w:r>
      <w:r w:rsidR="00A326E1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。</w:t>
      </w:r>
      <w:r w:rsidR="00A326E1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 xml:space="preserve"> </w:t>
      </w:r>
    </w:p>
    <w:p w:rsidR="003C4117" w:rsidRPr="00A679B2" w:rsidRDefault="00782A5E" w:rsidP="00B81361">
      <w:pPr>
        <w:spacing w:line="572" w:lineRule="exact"/>
        <w:ind w:firstLine="567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（二）《药品注册核查要点和判定原则（生物等效性试验和</w:t>
      </w:r>
      <w:r w:rsidR="00CE27DE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药物</w:t>
      </w:r>
      <w:r w:rsidR="00CE27DE" w:rsidRPr="00A679B2">
        <w:rPr>
          <w:rFonts w:ascii="宋体" w:eastAsia="宋体" w:hAnsi="宋体" w:cs="宋体" w:hint="eastAsia"/>
          <w:sz w:val="30"/>
          <w:szCs w:val="30"/>
          <w:lang w:eastAsia="zh-CN"/>
        </w:rPr>
        <w:t>Ⅰ</w:t>
      </w:r>
      <w:r w:rsidR="00CE27DE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期临床试验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）（征求意见稿）》</w:t>
      </w:r>
      <w:r w:rsidR="003C4117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分为</w:t>
      </w:r>
      <w:r w:rsidR="000B7683"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4</w:t>
      </w:r>
      <w:r w:rsidR="003C4117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部分：</w:t>
      </w:r>
    </w:p>
    <w:p w:rsidR="00782A5E" w:rsidRPr="00A679B2" w:rsidRDefault="003C4117" w:rsidP="00B81361">
      <w:pPr>
        <w:spacing w:line="572" w:lineRule="exact"/>
        <w:ind w:firstLine="567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第一部分为目的</w:t>
      </w:r>
      <w:r w:rsidR="00792915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。该部分</w:t>
      </w:r>
      <w:r w:rsidR="000B7683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进一步确认</w:t>
      </w:r>
      <w:r w:rsidR="000B7683"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了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生物等效性试验和</w:t>
      </w:r>
      <w:r w:rsidR="00CE27DE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药物</w:t>
      </w:r>
      <w:r w:rsidR="00CE27DE" w:rsidRPr="00A679B2">
        <w:rPr>
          <w:rFonts w:ascii="宋体" w:eastAsia="宋体" w:hAnsi="宋体" w:cs="宋体" w:hint="eastAsia"/>
          <w:sz w:val="30"/>
          <w:szCs w:val="30"/>
          <w:lang w:eastAsia="zh-CN"/>
        </w:rPr>
        <w:t>Ⅰ</w:t>
      </w:r>
      <w:r w:rsidR="00CE27DE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期临床试验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注册现场核查的目的。</w:t>
      </w:r>
    </w:p>
    <w:p w:rsidR="003C4117" w:rsidRPr="00A679B2" w:rsidRDefault="003C4117" w:rsidP="00B81361">
      <w:pPr>
        <w:spacing w:line="572" w:lineRule="exact"/>
        <w:ind w:firstLine="567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第二部分为适用范围</w:t>
      </w:r>
      <w:r w:rsidR="00792915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。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该部分明确了本文件适用于</w:t>
      </w:r>
      <w:proofErr w:type="gramStart"/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药审中心</w:t>
      </w:r>
      <w:proofErr w:type="gramEnd"/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发起、核查中心组织实施的涉及生物等效性试验和</w:t>
      </w:r>
      <w:r w:rsidR="00CE27DE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药物</w:t>
      </w:r>
      <w:r w:rsidR="00CE27DE" w:rsidRPr="00A679B2">
        <w:rPr>
          <w:rFonts w:ascii="宋体" w:eastAsia="宋体" w:hAnsi="宋体" w:cs="宋体" w:hint="eastAsia"/>
          <w:sz w:val="30"/>
          <w:szCs w:val="30"/>
          <w:lang w:eastAsia="zh-CN"/>
        </w:rPr>
        <w:t>Ⅰ</w:t>
      </w:r>
      <w:r w:rsidR="00CE27DE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期临床试验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的药品注册现场核查。</w:t>
      </w:r>
    </w:p>
    <w:p w:rsidR="003C4117" w:rsidRPr="00A679B2" w:rsidRDefault="003C4117" w:rsidP="00B81361">
      <w:pPr>
        <w:spacing w:line="572" w:lineRule="exact"/>
        <w:ind w:firstLine="567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第三部分为核查要点</w:t>
      </w:r>
      <w:r w:rsidR="00792915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。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临床部分从临床试验条件与合</w:t>
      </w:r>
      <w:proofErr w:type="gramStart"/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规</w:t>
      </w:r>
      <w:proofErr w:type="gramEnd"/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性、伦理审查、知情同意、受试者的选择与退出、临床试验过程的执行与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lastRenderedPageBreak/>
        <w:t>记录、安全性指标的处置记录与报告、受试者的管理、试验用药品的管理、生物样品的管理、委托研究等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10</w:t>
      </w:r>
      <w:r w:rsidR="00764407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个方面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提出了现场核查的要点；生物样品分析部分从生物样品分析条件与合</w:t>
      </w:r>
      <w:proofErr w:type="gramStart"/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规</w:t>
      </w:r>
      <w:proofErr w:type="gramEnd"/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性、对照标准物质的管理、试验样品和空白基质的管理、方法学验证的实施、试验样品分析测试的实施、色谱积分、记录的管理等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7</w:t>
      </w:r>
      <w:r w:rsidR="00764407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个方面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提出了现场核查的要点。</w:t>
      </w:r>
    </w:p>
    <w:p w:rsidR="003C4117" w:rsidRPr="00A679B2" w:rsidRDefault="00E20E4D" w:rsidP="00B81361">
      <w:pPr>
        <w:adjustRightInd w:val="0"/>
        <w:spacing w:line="572" w:lineRule="exact"/>
        <w:ind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第四部</w:t>
      </w:r>
      <w:r w:rsidR="003C4117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分为判定原则</w:t>
      </w:r>
      <w:r w:rsidR="00792915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。</w:t>
      </w:r>
      <w:r w:rsidR="002E01A1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明确了核查结果认定为</w:t>
      </w:r>
      <w:r w:rsidR="002E01A1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“</w:t>
      </w:r>
      <w:r w:rsidR="002E01A1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通过</w:t>
      </w:r>
      <w:r w:rsidR="002E01A1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”</w:t>
      </w:r>
      <w:r w:rsidR="002E01A1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及</w:t>
      </w:r>
      <w:r w:rsidR="002E01A1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“</w:t>
      </w:r>
      <w:r w:rsidR="002E01A1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需审评重点关注</w:t>
      </w:r>
      <w:r w:rsidR="002E01A1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”</w:t>
      </w:r>
      <w:r w:rsidR="002E01A1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的标准，并列明</w:t>
      </w:r>
      <w:r w:rsidR="000B7683"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了</w:t>
      </w:r>
      <w:r w:rsidR="000B7683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核查结果认定为</w:t>
      </w:r>
      <w:r w:rsidR="000B7683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“</w:t>
      </w:r>
      <w:r w:rsidR="000B7683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不通过</w:t>
      </w:r>
      <w:r w:rsidR="000B7683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”</w:t>
      </w:r>
      <w:r w:rsidR="000B7683"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的</w:t>
      </w:r>
      <w:r w:rsidR="002E01A1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4</w:t>
      </w:r>
      <w:r w:rsidR="002E01A1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种情形。</w:t>
      </w:r>
    </w:p>
    <w:p w:rsidR="00782A5E" w:rsidRPr="00A679B2" w:rsidRDefault="00782A5E" w:rsidP="00B81361">
      <w:pPr>
        <w:spacing w:line="572" w:lineRule="exact"/>
        <w:ind w:firstLine="567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（三）《药品注册核查要点和判定原则（药物</w:t>
      </w:r>
      <w:r w:rsidRPr="00A679B2">
        <w:rPr>
          <w:rFonts w:ascii="宋体" w:eastAsia="宋体" w:hAnsi="宋体" w:cs="宋体" w:hint="eastAsia"/>
          <w:sz w:val="30"/>
          <w:szCs w:val="30"/>
          <w:lang w:eastAsia="zh-CN"/>
        </w:rPr>
        <w:t>Ⅱ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、</w:t>
      </w:r>
      <w:r w:rsidRPr="00A679B2">
        <w:rPr>
          <w:rFonts w:ascii="宋体" w:eastAsia="宋体" w:hAnsi="宋体" w:cs="宋体" w:hint="eastAsia"/>
          <w:sz w:val="30"/>
          <w:szCs w:val="30"/>
          <w:lang w:eastAsia="zh-CN"/>
        </w:rPr>
        <w:t>Ⅲ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期临床试验）（征求意见稿）》</w:t>
      </w:r>
      <w:r w:rsidR="000B7683"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分为</w:t>
      </w:r>
      <w:r w:rsidR="000B7683"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4</w:t>
      </w:r>
      <w:r w:rsidR="000B7683"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部分：</w:t>
      </w:r>
    </w:p>
    <w:p w:rsidR="009C30FE" w:rsidRPr="00A679B2" w:rsidRDefault="009C30FE" w:rsidP="00B81361">
      <w:pPr>
        <w:spacing w:line="572" w:lineRule="exact"/>
        <w:ind w:firstLine="567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第一部分为目的</w:t>
      </w:r>
      <w:r w:rsidR="00764407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。该部分</w:t>
      </w:r>
      <w:r w:rsidR="000B7683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进一步确认</w:t>
      </w:r>
      <w:r w:rsidR="000B7683"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了</w:t>
      </w:r>
      <w:r w:rsidR="00671EF5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药物</w:t>
      </w:r>
      <w:r w:rsidR="00671EF5" w:rsidRPr="00A679B2">
        <w:rPr>
          <w:rFonts w:ascii="宋体" w:eastAsia="宋体" w:hAnsi="宋体" w:cs="宋体" w:hint="eastAsia"/>
          <w:sz w:val="30"/>
          <w:szCs w:val="30"/>
          <w:lang w:eastAsia="zh-CN"/>
        </w:rPr>
        <w:t>Ⅱ</w:t>
      </w:r>
      <w:r w:rsidR="00671EF5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、</w:t>
      </w:r>
      <w:r w:rsidR="00671EF5" w:rsidRPr="00A679B2">
        <w:rPr>
          <w:rFonts w:ascii="宋体" w:eastAsia="宋体" w:hAnsi="宋体" w:cs="宋体" w:hint="eastAsia"/>
          <w:sz w:val="30"/>
          <w:szCs w:val="30"/>
          <w:lang w:eastAsia="zh-CN"/>
        </w:rPr>
        <w:t>Ⅲ</w:t>
      </w:r>
      <w:r w:rsidR="00671EF5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期临床试验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现场核查</w:t>
      </w:r>
      <w:r w:rsidR="00F67C8F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的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目的。</w:t>
      </w:r>
    </w:p>
    <w:p w:rsidR="009C30FE" w:rsidRPr="00A679B2" w:rsidRDefault="009C30FE" w:rsidP="00B81361">
      <w:pPr>
        <w:spacing w:line="572" w:lineRule="exact"/>
        <w:ind w:firstLine="567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第二部分为适用范围</w:t>
      </w:r>
      <w:r w:rsidR="00671EF5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。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该部分明确了本文件适用于</w:t>
      </w:r>
      <w:proofErr w:type="gramStart"/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药审中心</w:t>
      </w:r>
      <w:proofErr w:type="gramEnd"/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发起、核查中心组织实施的</w:t>
      </w:r>
      <w:r w:rsidR="00F67C8F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药品注册研制现场核查中的药物</w:t>
      </w:r>
      <w:r w:rsidR="00F67C8F" w:rsidRPr="00A679B2">
        <w:rPr>
          <w:rFonts w:ascii="宋体" w:eastAsia="宋体" w:hAnsi="宋体" w:cs="宋体" w:hint="eastAsia"/>
          <w:sz w:val="30"/>
          <w:szCs w:val="30"/>
          <w:lang w:eastAsia="zh-CN"/>
        </w:rPr>
        <w:t>Ⅱ</w:t>
      </w:r>
      <w:r w:rsidR="00F67C8F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、</w:t>
      </w:r>
      <w:r w:rsidR="00C57C85" w:rsidRPr="00A679B2">
        <w:rPr>
          <w:rFonts w:ascii="宋体" w:eastAsia="宋体" w:hAnsi="宋体" w:cs="宋体" w:hint="eastAsia"/>
          <w:sz w:val="30"/>
          <w:szCs w:val="30"/>
          <w:lang w:eastAsia="zh-CN"/>
        </w:rPr>
        <w:t>Ⅲ</w:t>
      </w:r>
      <w:r w:rsidR="00F67C8F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期临床试验现场核查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。</w:t>
      </w:r>
      <w:r w:rsidR="00F67C8F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必要时，可对合同研究组织或临床试验用药物制备条件及情况进行现场核查，对临床试验用药物进行抽查检验。</w:t>
      </w:r>
    </w:p>
    <w:p w:rsidR="009C30FE" w:rsidRPr="00A679B2" w:rsidRDefault="009C30FE" w:rsidP="00B81361">
      <w:pPr>
        <w:spacing w:line="572" w:lineRule="exact"/>
        <w:ind w:firstLine="567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第三部分为核查要点</w:t>
      </w:r>
      <w:r w:rsidR="00671EF5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。该部分</w:t>
      </w:r>
      <w:r w:rsidR="00F67C8F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从临床试验许可与条件、伦理审查、临床试验实施过程、试验用药品管理、中心实验室、临床试验数据采集与管理、委托研究</w:t>
      </w:r>
      <w:r w:rsidR="00671EF5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等</w:t>
      </w:r>
      <w:r w:rsidR="00671EF5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7</w:t>
      </w:r>
      <w:r w:rsidR="00F67C8F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个方面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提出了现场核查的要点。</w:t>
      </w:r>
    </w:p>
    <w:p w:rsidR="00F67C8F" w:rsidRPr="00A679B2" w:rsidRDefault="00E20E4D" w:rsidP="00B81361">
      <w:pPr>
        <w:spacing w:line="572" w:lineRule="exact"/>
        <w:ind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第四部</w:t>
      </w:r>
      <w:r w:rsidR="009C30FE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分为判定原则</w:t>
      </w:r>
      <w:r w:rsidR="00671EF5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。</w:t>
      </w:r>
      <w:r w:rsidR="002E01A1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明确了核查结果认定为</w:t>
      </w:r>
      <w:r w:rsidR="002E01A1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“</w:t>
      </w:r>
      <w:r w:rsidR="002E01A1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通过</w:t>
      </w:r>
      <w:r w:rsidR="002E01A1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”</w:t>
      </w:r>
      <w:r w:rsidR="002E01A1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及</w:t>
      </w:r>
      <w:r w:rsidR="002E01A1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“</w:t>
      </w:r>
      <w:r w:rsidR="002E01A1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需审评重点关注</w:t>
      </w:r>
      <w:r w:rsidR="002E01A1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”</w:t>
      </w:r>
      <w:r w:rsidR="002E01A1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的标准，并列明</w:t>
      </w:r>
      <w:r w:rsidR="002E01A1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4</w:t>
      </w:r>
      <w:r w:rsidR="002E01A1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种情形核查结果认定为</w:t>
      </w:r>
      <w:r w:rsidR="002E01A1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“</w:t>
      </w:r>
      <w:r w:rsidR="002E01A1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不通过</w:t>
      </w:r>
      <w:r w:rsidR="002E01A1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”</w:t>
      </w:r>
      <w:r w:rsidR="002E01A1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。</w:t>
      </w:r>
    </w:p>
    <w:p w:rsidR="00BC7E57" w:rsidRPr="00A679B2" w:rsidRDefault="00782A5E" w:rsidP="00B81361">
      <w:pPr>
        <w:spacing w:line="572" w:lineRule="exact"/>
        <w:ind w:firstLine="567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lastRenderedPageBreak/>
        <w:t>（四）</w:t>
      </w:r>
      <w:r w:rsidR="00F83FED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《药品注册核查要点和判定原则（药学研制和生产现场）</w:t>
      </w:r>
      <w:r w:rsidR="005B14B9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（征求意见稿）</w:t>
      </w:r>
      <w:r w:rsidR="00F83FED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》</w:t>
      </w:r>
      <w:r w:rsidR="00BC7E57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分为</w:t>
      </w:r>
      <w:r w:rsidR="000B7683"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6</w:t>
      </w:r>
      <w:r w:rsidR="00BC7E57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部分：</w:t>
      </w:r>
    </w:p>
    <w:p w:rsidR="00885D52" w:rsidRPr="00A679B2" w:rsidRDefault="00BC7E57" w:rsidP="00B81361">
      <w:pPr>
        <w:spacing w:line="572" w:lineRule="exact"/>
        <w:ind w:firstLine="567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第一部分为目的</w:t>
      </w:r>
      <w:r w:rsidR="00671EF5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。该部分</w:t>
      </w:r>
      <w:r w:rsidR="000B7683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进一步确认</w:t>
      </w:r>
      <w:r w:rsidR="000B7683"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了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药学研制现场核查和注册生产现场核查的目的。</w:t>
      </w:r>
    </w:p>
    <w:p w:rsidR="00BC7E57" w:rsidRPr="00A679B2" w:rsidRDefault="00BC7E57" w:rsidP="00B81361">
      <w:pPr>
        <w:spacing w:line="572" w:lineRule="exact"/>
        <w:ind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第二部分为范围</w:t>
      </w:r>
      <w:r w:rsidR="00671EF5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。该部分明确了本文件适用于</w:t>
      </w:r>
      <w:proofErr w:type="gramStart"/>
      <w:r w:rsidR="00671EF5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药审中心</w:t>
      </w:r>
      <w:proofErr w:type="gramEnd"/>
      <w:r w:rsidR="00671EF5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发起、核查中心组织实施的药学研制现场核查和注册生产现场核查。省级局组织实施的药品注册现场核查可参考本核查要点和判定原则。</w:t>
      </w:r>
    </w:p>
    <w:p w:rsidR="00154FA9" w:rsidRPr="00A679B2" w:rsidRDefault="00154FA9" w:rsidP="00B81361">
      <w:pPr>
        <w:spacing w:line="572" w:lineRule="exact"/>
        <w:ind w:firstLine="567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第</w:t>
      </w:r>
      <w:r w:rsidR="00A06C32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三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部分</w:t>
      </w:r>
      <w:r w:rsidR="004D72CB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为研制现场核查要点</w:t>
      </w:r>
      <w:r w:rsidR="00671EF5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。该部分</w:t>
      </w:r>
      <w:r w:rsidR="004D72CB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从质量管理、处方和工艺、样品试制、原辅料与直接接触药品的包装材料和容器、质量控制、技术转移、对照品和</w:t>
      </w:r>
      <w:proofErr w:type="gramStart"/>
      <w:r w:rsidR="004D72CB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参比</w:t>
      </w:r>
      <w:proofErr w:type="gramEnd"/>
      <w:r w:rsidR="004D72CB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制剂、稳定性研究、数据可靠性等</w:t>
      </w:r>
      <w:r w:rsidR="004D72CB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9</w:t>
      </w:r>
      <w:r w:rsidR="004D72CB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个</w:t>
      </w:r>
      <w:r w:rsidR="00671EF5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方面</w:t>
      </w:r>
      <w:r w:rsidR="004D72CB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提出了研制现场核查的要点。</w:t>
      </w:r>
    </w:p>
    <w:p w:rsidR="004D72CB" w:rsidRPr="00A679B2" w:rsidRDefault="004D72CB" w:rsidP="00B81361">
      <w:pPr>
        <w:spacing w:line="572" w:lineRule="exact"/>
        <w:ind w:firstLine="567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第</w:t>
      </w:r>
      <w:r w:rsidR="00A06C32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四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部分为研制现场核查判定原则</w:t>
      </w:r>
      <w:r w:rsidR="00671EF5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。</w:t>
      </w:r>
      <w:r w:rsidR="002E01A1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明确了核查结果认定为</w:t>
      </w:r>
      <w:r w:rsidR="002E01A1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“</w:t>
      </w:r>
      <w:r w:rsidR="002E01A1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通过</w:t>
      </w:r>
      <w:r w:rsidR="002E01A1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”</w:t>
      </w:r>
      <w:r w:rsidR="002E01A1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及</w:t>
      </w:r>
      <w:r w:rsidR="002E01A1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“</w:t>
      </w:r>
      <w:r w:rsidR="002E01A1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需审评重点关注</w:t>
      </w:r>
      <w:r w:rsidR="002E01A1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”</w:t>
      </w:r>
      <w:r w:rsidR="002E01A1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的标准，并列明</w:t>
      </w:r>
      <w:r w:rsidR="000B7683"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了</w:t>
      </w:r>
      <w:r w:rsidR="000B7683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核查结果认定为</w:t>
      </w:r>
      <w:r w:rsidR="000B7683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“</w:t>
      </w:r>
      <w:r w:rsidR="000B7683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不通过</w:t>
      </w:r>
      <w:r w:rsidR="000B7683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”</w:t>
      </w:r>
      <w:r w:rsidR="000B7683"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的</w:t>
      </w:r>
      <w:r w:rsidR="002E01A1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5</w:t>
      </w:r>
      <w:r w:rsidR="002E01A1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种情形。</w:t>
      </w:r>
    </w:p>
    <w:p w:rsidR="00DE6967" w:rsidRPr="00A679B2" w:rsidRDefault="00DE6967" w:rsidP="00B81361">
      <w:pPr>
        <w:spacing w:line="572" w:lineRule="exact"/>
        <w:ind w:firstLine="567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第</w:t>
      </w:r>
      <w:r w:rsidR="00A06C32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五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部分为注册生产现场核查要点</w:t>
      </w:r>
      <w:r w:rsidR="00A31158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。该部分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从质量管理、厂房设施设备、物料、批量生产、质量控制、数据可靠性等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6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个</w:t>
      </w:r>
      <w:r w:rsidR="00A31158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方面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提出了生产现场核查的要点。</w:t>
      </w:r>
    </w:p>
    <w:p w:rsidR="00DE6967" w:rsidRPr="00A679B2" w:rsidRDefault="002B1157" w:rsidP="00B81361">
      <w:pPr>
        <w:spacing w:line="572" w:lineRule="exact"/>
        <w:ind w:firstLine="567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第</w:t>
      </w:r>
      <w:r w:rsidR="00A06C32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六</w:t>
      </w:r>
      <w:r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部分为注册生产现场核查判定原则</w:t>
      </w:r>
      <w:r w:rsidR="00A31158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。</w:t>
      </w:r>
      <w:r w:rsidR="002E01A1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明确了核查结果认定为</w:t>
      </w:r>
      <w:r w:rsidR="002E01A1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“</w:t>
      </w:r>
      <w:r w:rsidR="002E01A1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通过</w:t>
      </w:r>
      <w:r w:rsidR="002E01A1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”</w:t>
      </w:r>
      <w:r w:rsidR="002E01A1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及</w:t>
      </w:r>
      <w:r w:rsidR="002E01A1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“</w:t>
      </w:r>
      <w:r w:rsidR="002E01A1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需审评重点关注</w:t>
      </w:r>
      <w:r w:rsidR="002E01A1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”</w:t>
      </w:r>
      <w:r w:rsidR="002E01A1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的标准，并列明</w:t>
      </w:r>
      <w:r w:rsidR="000B7683"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了</w:t>
      </w:r>
      <w:r w:rsidR="000B7683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核查结果认定为</w:t>
      </w:r>
      <w:r w:rsidR="000B7683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“</w:t>
      </w:r>
      <w:r w:rsidR="000B7683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不通过</w:t>
      </w:r>
      <w:r w:rsidR="000B7683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”</w:t>
      </w:r>
      <w:r w:rsidR="000B7683"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的</w:t>
      </w:r>
      <w:r w:rsidR="002E01A1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6</w:t>
      </w:r>
      <w:r w:rsidR="002E01A1" w:rsidRPr="00A679B2">
        <w:rPr>
          <w:rFonts w:ascii="Times New Roman" w:eastAsia="仿宋_GB2312" w:hAnsi="Times New Roman" w:cs="Times New Roman"/>
          <w:sz w:val="30"/>
          <w:szCs w:val="30"/>
          <w:lang w:eastAsia="zh-CN"/>
        </w:rPr>
        <w:t>种情形。</w:t>
      </w:r>
    </w:p>
    <w:sectPr w:rsidR="00DE6967" w:rsidRPr="00A679B2" w:rsidSect="007258BC">
      <w:footerReference w:type="default" r:id="rId7"/>
      <w:pgSz w:w="11900" w:h="16840"/>
      <w:pgMar w:top="2098" w:right="1531" w:bottom="1985" w:left="1531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B0B" w:rsidRDefault="008E3B0B" w:rsidP="007845F1">
      <w:r>
        <w:separator/>
      </w:r>
    </w:p>
  </w:endnote>
  <w:endnote w:type="continuationSeparator" w:id="0">
    <w:p w:rsidR="008E3B0B" w:rsidRDefault="008E3B0B" w:rsidP="0078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 (Theme Body Asian)">
    <w:altName w:val="MS Mincho"/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5778434"/>
      <w:docPartObj>
        <w:docPartGallery w:val="Page Numbers (Bottom of Page)"/>
        <w:docPartUnique/>
      </w:docPartObj>
    </w:sdtPr>
    <w:sdtEndPr/>
    <w:sdtContent>
      <w:p w:rsidR="00795D07" w:rsidRDefault="00795D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A7D" w:rsidRPr="00DE3A7D">
          <w:rPr>
            <w:noProof/>
            <w:lang w:val="zh-CN" w:eastAsia="zh-CN"/>
          </w:rPr>
          <w:t>1</w:t>
        </w:r>
        <w:r>
          <w:fldChar w:fldCharType="end"/>
        </w:r>
      </w:p>
    </w:sdtContent>
  </w:sdt>
  <w:p w:rsidR="00795D07" w:rsidRDefault="00795D0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B0B" w:rsidRDefault="008E3B0B" w:rsidP="007845F1">
      <w:r>
        <w:separator/>
      </w:r>
    </w:p>
  </w:footnote>
  <w:footnote w:type="continuationSeparator" w:id="0">
    <w:p w:rsidR="008E3B0B" w:rsidRDefault="008E3B0B" w:rsidP="00784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CA6E4F"/>
    <w:multiLevelType w:val="hybridMultilevel"/>
    <w:tmpl w:val="5B60F840"/>
    <w:lvl w:ilvl="0" w:tplc="55806B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B8E9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5EDC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18EE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42D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3640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EA17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704D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D2BA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27D"/>
    <w:rsid w:val="000045F6"/>
    <w:rsid w:val="00007516"/>
    <w:rsid w:val="00030396"/>
    <w:rsid w:val="0006351E"/>
    <w:rsid w:val="00097597"/>
    <w:rsid w:val="000A6169"/>
    <w:rsid w:val="000B7683"/>
    <w:rsid w:val="000D7484"/>
    <w:rsid w:val="000E6D3E"/>
    <w:rsid w:val="0010280D"/>
    <w:rsid w:val="00130955"/>
    <w:rsid w:val="00154FA9"/>
    <w:rsid w:val="001666A4"/>
    <w:rsid w:val="00184C80"/>
    <w:rsid w:val="001961D8"/>
    <w:rsid w:val="001C08D3"/>
    <w:rsid w:val="001D0DC0"/>
    <w:rsid w:val="001E7378"/>
    <w:rsid w:val="001F12FB"/>
    <w:rsid w:val="00222922"/>
    <w:rsid w:val="00226CB9"/>
    <w:rsid w:val="00273237"/>
    <w:rsid w:val="002B1157"/>
    <w:rsid w:val="002E01A1"/>
    <w:rsid w:val="002F1E65"/>
    <w:rsid w:val="00302CD8"/>
    <w:rsid w:val="003052F3"/>
    <w:rsid w:val="00324F4D"/>
    <w:rsid w:val="0035107A"/>
    <w:rsid w:val="0036415C"/>
    <w:rsid w:val="003A23FA"/>
    <w:rsid w:val="003A6CEE"/>
    <w:rsid w:val="003B7E2B"/>
    <w:rsid w:val="003C4117"/>
    <w:rsid w:val="003C775D"/>
    <w:rsid w:val="00472A48"/>
    <w:rsid w:val="004836B5"/>
    <w:rsid w:val="004B3F16"/>
    <w:rsid w:val="004D4621"/>
    <w:rsid w:val="004D6588"/>
    <w:rsid w:val="004D72CB"/>
    <w:rsid w:val="004E3714"/>
    <w:rsid w:val="004F213B"/>
    <w:rsid w:val="0054251B"/>
    <w:rsid w:val="005650FA"/>
    <w:rsid w:val="00590C3C"/>
    <w:rsid w:val="005B14B9"/>
    <w:rsid w:val="005B1BEA"/>
    <w:rsid w:val="006124CF"/>
    <w:rsid w:val="00662E0E"/>
    <w:rsid w:val="00671EF5"/>
    <w:rsid w:val="0067334A"/>
    <w:rsid w:val="00684D71"/>
    <w:rsid w:val="00685B89"/>
    <w:rsid w:val="0069386E"/>
    <w:rsid w:val="0069527D"/>
    <w:rsid w:val="00695991"/>
    <w:rsid w:val="006C22B4"/>
    <w:rsid w:val="006D13FD"/>
    <w:rsid w:val="00707689"/>
    <w:rsid w:val="007258BC"/>
    <w:rsid w:val="00733E9C"/>
    <w:rsid w:val="00743190"/>
    <w:rsid w:val="00764407"/>
    <w:rsid w:val="00782A5E"/>
    <w:rsid w:val="007845F1"/>
    <w:rsid w:val="00792915"/>
    <w:rsid w:val="00795D07"/>
    <w:rsid w:val="007A07E4"/>
    <w:rsid w:val="007A4F06"/>
    <w:rsid w:val="007C5F6F"/>
    <w:rsid w:val="007D314A"/>
    <w:rsid w:val="007F1386"/>
    <w:rsid w:val="008072A2"/>
    <w:rsid w:val="00853EB1"/>
    <w:rsid w:val="00881CFB"/>
    <w:rsid w:val="00885D52"/>
    <w:rsid w:val="008A3E15"/>
    <w:rsid w:val="008C64D3"/>
    <w:rsid w:val="008E3B0B"/>
    <w:rsid w:val="00933CC8"/>
    <w:rsid w:val="00962E49"/>
    <w:rsid w:val="00963F49"/>
    <w:rsid w:val="009B01AA"/>
    <w:rsid w:val="009B5E16"/>
    <w:rsid w:val="009C261B"/>
    <w:rsid w:val="009C30FE"/>
    <w:rsid w:val="009C7D56"/>
    <w:rsid w:val="009F1B4F"/>
    <w:rsid w:val="009F3C66"/>
    <w:rsid w:val="00A06C32"/>
    <w:rsid w:val="00A31158"/>
    <w:rsid w:val="00A326E1"/>
    <w:rsid w:val="00A42ED3"/>
    <w:rsid w:val="00A679B2"/>
    <w:rsid w:val="00A729AD"/>
    <w:rsid w:val="00A74FE1"/>
    <w:rsid w:val="00A97A35"/>
    <w:rsid w:val="00AA7C52"/>
    <w:rsid w:val="00AC054D"/>
    <w:rsid w:val="00B24783"/>
    <w:rsid w:val="00B64639"/>
    <w:rsid w:val="00B750C2"/>
    <w:rsid w:val="00B81361"/>
    <w:rsid w:val="00BA50E6"/>
    <w:rsid w:val="00BC3331"/>
    <w:rsid w:val="00BC7E57"/>
    <w:rsid w:val="00BF6447"/>
    <w:rsid w:val="00C06B42"/>
    <w:rsid w:val="00C110A2"/>
    <w:rsid w:val="00C1417C"/>
    <w:rsid w:val="00C20467"/>
    <w:rsid w:val="00C45393"/>
    <w:rsid w:val="00C57C85"/>
    <w:rsid w:val="00C61332"/>
    <w:rsid w:val="00C925B8"/>
    <w:rsid w:val="00CB7018"/>
    <w:rsid w:val="00CC237A"/>
    <w:rsid w:val="00CD3A4D"/>
    <w:rsid w:val="00CE27DE"/>
    <w:rsid w:val="00CF6852"/>
    <w:rsid w:val="00D01D98"/>
    <w:rsid w:val="00D14520"/>
    <w:rsid w:val="00D150B5"/>
    <w:rsid w:val="00D33CC1"/>
    <w:rsid w:val="00D460D6"/>
    <w:rsid w:val="00D516C7"/>
    <w:rsid w:val="00D52308"/>
    <w:rsid w:val="00D6614B"/>
    <w:rsid w:val="00D70958"/>
    <w:rsid w:val="00D7726F"/>
    <w:rsid w:val="00D86F6E"/>
    <w:rsid w:val="00D87E78"/>
    <w:rsid w:val="00D950C6"/>
    <w:rsid w:val="00DD1199"/>
    <w:rsid w:val="00DE3A7D"/>
    <w:rsid w:val="00DE5AF3"/>
    <w:rsid w:val="00DE6967"/>
    <w:rsid w:val="00E20E4D"/>
    <w:rsid w:val="00E25E37"/>
    <w:rsid w:val="00E3156C"/>
    <w:rsid w:val="00E54F73"/>
    <w:rsid w:val="00E55AA6"/>
    <w:rsid w:val="00E747CF"/>
    <w:rsid w:val="00E81EFC"/>
    <w:rsid w:val="00EA7957"/>
    <w:rsid w:val="00EB1587"/>
    <w:rsid w:val="00EB6178"/>
    <w:rsid w:val="00F25738"/>
    <w:rsid w:val="00F312BE"/>
    <w:rsid w:val="00F33A5F"/>
    <w:rsid w:val="00F46F8F"/>
    <w:rsid w:val="00F53D15"/>
    <w:rsid w:val="00F67C8F"/>
    <w:rsid w:val="00F83FED"/>
    <w:rsid w:val="00FA58B2"/>
    <w:rsid w:val="00FB4795"/>
    <w:rsid w:val="00FD0427"/>
    <w:rsid w:val="00FF1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D0F7B8F-82CF-4C1A-8ED2-BBE45B8A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 (Theme Body Asian)" w:eastAsia="ＭＳ 明朝 (Theme Body Asian)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4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45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5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45F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C411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C41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391</Words>
  <Characters>2232</Characters>
  <Application>Microsoft Office Word</Application>
  <DocSecurity>0</DocSecurity>
  <Lines>18</Lines>
  <Paragraphs>5</Paragraphs>
  <ScaleCrop>false</ScaleCrop>
  <Company>home</Company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 ZHANG</dc:creator>
  <cp:lastModifiedBy>dan qin</cp:lastModifiedBy>
  <cp:revision>34</cp:revision>
  <cp:lastPrinted>2020-05-22T12:58:00Z</cp:lastPrinted>
  <dcterms:created xsi:type="dcterms:W3CDTF">2020-05-22T09:01:00Z</dcterms:created>
  <dcterms:modified xsi:type="dcterms:W3CDTF">2020-05-22T14:27:00Z</dcterms:modified>
</cp:coreProperties>
</file>