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E1" w:rsidRPr="00932118" w:rsidRDefault="00C904E1" w:rsidP="00C904E1">
      <w:pPr>
        <w:spacing w:line="600" w:lineRule="exact"/>
        <w:rPr>
          <w:rFonts w:ascii="黑体" w:eastAsia="黑体" w:hAnsi="黑体"/>
          <w:sz w:val="32"/>
          <w:szCs w:val="32"/>
        </w:rPr>
      </w:pPr>
      <w:r w:rsidRPr="00932118">
        <w:rPr>
          <w:rFonts w:ascii="黑体" w:eastAsia="黑体" w:hAnsi="黑体" w:hint="eastAsia"/>
          <w:sz w:val="32"/>
          <w:szCs w:val="32"/>
        </w:rPr>
        <w:t>附件2</w:t>
      </w:r>
    </w:p>
    <w:p w:rsidR="00C904E1" w:rsidRPr="00CF0433" w:rsidRDefault="00C904E1" w:rsidP="00C904E1">
      <w:pPr>
        <w:spacing w:line="600" w:lineRule="exact"/>
        <w:rPr>
          <w:rFonts w:eastAsia="黑体"/>
          <w:sz w:val="32"/>
          <w:szCs w:val="32"/>
        </w:rPr>
      </w:pPr>
    </w:p>
    <w:p w:rsidR="00C904E1" w:rsidRPr="00CF0433" w:rsidRDefault="00C904E1" w:rsidP="00C904E1">
      <w:pPr>
        <w:spacing w:line="600" w:lineRule="exact"/>
        <w:jc w:val="center"/>
        <w:rPr>
          <w:rFonts w:eastAsia="仿宋"/>
          <w:sz w:val="32"/>
          <w:szCs w:val="32"/>
        </w:rPr>
      </w:pPr>
      <w:r w:rsidRPr="00CF0433">
        <w:rPr>
          <w:rFonts w:eastAsia="方正小标宋简体" w:hint="eastAsia"/>
          <w:sz w:val="44"/>
          <w:szCs w:val="44"/>
        </w:rPr>
        <w:t>常州威克医疗器械有限公司检查情况表</w:t>
      </w:r>
    </w:p>
    <w:tbl>
      <w:tblPr>
        <w:tblW w:w="912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0"/>
        <w:gridCol w:w="101"/>
        <w:gridCol w:w="3493"/>
        <w:gridCol w:w="1305"/>
        <w:gridCol w:w="2627"/>
      </w:tblGrid>
      <w:tr w:rsidR="00C904E1" w:rsidRPr="00CF0433" w:rsidTr="00C904E1">
        <w:trPr>
          <w:trHeight w:val="567"/>
          <w:jc w:val="center"/>
        </w:trPr>
        <w:tc>
          <w:tcPr>
            <w:tcW w:w="1600" w:type="dxa"/>
            <w:shd w:val="clear" w:color="auto" w:fill="auto"/>
            <w:vAlign w:val="center"/>
          </w:tcPr>
          <w:p w:rsidR="00C904E1" w:rsidRPr="00CF0433" w:rsidRDefault="00C904E1" w:rsidP="007451E5">
            <w:pPr>
              <w:spacing w:line="360" w:lineRule="auto"/>
              <w:jc w:val="center"/>
              <w:rPr>
                <w:szCs w:val="21"/>
              </w:rPr>
            </w:pPr>
            <w:r w:rsidRPr="00CF0433">
              <w:rPr>
                <w:szCs w:val="21"/>
              </w:rPr>
              <w:t>企业名称</w:t>
            </w:r>
          </w:p>
        </w:tc>
        <w:tc>
          <w:tcPr>
            <w:tcW w:w="3594" w:type="dxa"/>
            <w:gridSpan w:val="2"/>
            <w:shd w:val="clear" w:color="auto" w:fill="auto"/>
            <w:vAlign w:val="center"/>
          </w:tcPr>
          <w:p w:rsidR="00C904E1" w:rsidRPr="00CF0433" w:rsidRDefault="00C904E1" w:rsidP="007451E5">
            <w:pPr>
              <w:jc w:val="center"/>
              <w:rPr>
                <w:bCs/>
                <w:w w:val="80"/>
                <w:szCs w:val="21"/>
              </w:rPr>
            </w:pPr>
            <w:r w:rsidRPr="00CF0433">
              <w:rPr>
                <w:rFonts w:hint="eastAsia"/>
                <w:szCs w:val="21"/>
              </w:rPr>
              <w:t>常州威克医疗器械有限公司</w:t>
            </w:r>
          </w:p>
        </w:tc>
        <w:tc>
          <w:tcPr>
            <w:tcW w:w="1305" w:type="dxa"/>
            <w:shd w:val="clear" w:color="auto" w:fill="auto"/>
            <w:vAlign w:val="center"/>
          </w:tcPr>
          <w:p w:rsidR="00C904E1" w:rsidRPr="00CF0433" w:rsidRDefault="00C904E1" w:rsidP="007451E5">
            <w:pPr>
              <w:snapToGrid w:val="0"/>
              <w:spacing w:line="240" w:lineRule="atLeast"/>
              <w:ind w:rightChars="-36" w:right="-76" w:firstLineChars="18" w:firstLine="38"/>
              <w:jc w:val="center"/>
              <w:rPr>
                <w:szCs w:val="21"/>
              </w:rPr>
            </w:pPr>
            <w:r w:rsidRPr="00CF0433">
              <w:rPr>
                <w:rFonts w:hint="eastAsia"/>
                <w:szCs w:val="21"/>
              </w:rPr>
              <w:t>法定代表人</w:t>
            </w:r>
          </w:p>
        </w:tc>
        <w:tc>
          <w:tcPr>
            <w:tcW w:w="2627" w:type="dxa"/>
            <w:shd w:val="clear" w:color="auto" w:fill="auto"/>
            <w:vAlign w:val="center"/>
          </w:tcPr>
          <w:p w:rsidR="00C904E1" w:rsidRPr="00CF0433" w:rsidRDefault="00C904E1" w:rsidP="007451E5">
            <w:pPr>
              <w:jc w:val="center"/>
              <w:rPr>
                <w:szCs w:val="21"/>
              </w:rPr>
            </w:pPr>
            <w:r w:rsidRPr="00CF0433">
              <w:rPr>
                <w:rFonts w:hint="eastAsia"/>
                <w:szCs w:val="21"/>
              </w:rPr>
              <w:t>吴剑雄</w:t>
            </w:r>
          </w:p>
        </w:tc>
      </w:tr>
      <w:tr w:rsidR="00C904E1" w:rsidRPr="00CF0433" w:rsidTr="00C904E1">
        <w:trPr>
          <w:trHeight w:val="567"/>
          <w:jc w:val="center"/>
        </w:trPr>
        <w:tc>
          <w:tcPr>
            <w:tcW w:w="1600" w:type="dxa"/>
            <w:shd w:val="clear" w:color="auto" w:fill="auto"/>
            <w:vAlign w:val="center"/>
          </w:tcPr>
          <w:p w:rsidR="00C904E1" w:rsidRPr="00CF0433" w:rsidRDefault="00C904E1" w:rsidP="007451E5">
            <w:pPr>
              <w:spacing w:line="360" w:lineRule="auto"/>
              <w:jc w:val="center"/>
              <w:rPr>
                <w:szCs w:val="21"/>
              </w:rPr>
            </w:pPr>
            <w:r w:rsidRPr="00CF0433">
              <w:rPr>
                <w:szCs w:val="21"/>
              </w:rPr>
              <w:t>企业负责人</w:t>
            </w:r>
          </w:p>
        </w:tc>
        <w:tc>
          <w:tcPr>
            <w:tcW w:w="3594" w:type="dxa"/>
            <w:gridSpan w:val="2"/>
            <w:shd w:val="clear" w:color="auto" w:fill="auto"/>
            <w:vAlign w:val="center"/>
          </w:tcPr>
          <w:p w:rsidR="00C904E1" w:rsidRPr="00CF0433" w:rsidRDefault="00C904E1" w:rsidP="007451E5">
            <w:pPr>
              <w:jc w:val="center"/>
              <w:rPr>
                <w:szCs w:val="21"/>
              </w:rPr>
            </w:pPr>
            <w:r w:rsidRPr="00CF0433">
              <w:rPr>
                <w:rFonts w:hint="eastAsia"/>
                <w:szCs w:val="21"/>
              </w:rPr>
              <w:t>陈云火</w:t>
            </w:r>
          </w:p>
        </w:tc>
        <w:tc>
          <w:tcPr>
            <w:tcW w:w="1305" w:type="dxa"/>
            <w:shd w:val="clear" w:color="auto" w:fill="auto"/>
            <w:vAlign w:val="center"/>
          </w:tcPr>
          <w:p w:rsidR="00C904E1" w:rsidRPr="00CF0433" w:rsidRDefault="00C904E1" w:rsidP="007451E5">
            <w:pPr>
              <w:snapToGrid w:val="0"/>
              <w:spacing w:line="240" w:lineRule="atLeast"/>
              <w:ind w:rightChars="-36" w:right="-76" w:firstLineChars="18" w:firstLine="38"/>
              <w:jc w:val="center"/>
              <w:rPr>
                <w:szCs w:val="21"/>
              </w:rPr>
            </w:pPr>
            <w:r w:rsidRPr="00CF0433">
              <w:rPr>
                <w:rFonts w:hint="eastAsia"/>
                <w:szCs w:val="21"/>
              </w:rPr>
              <w:t>管理者代表</w:t>
            </w:r>
          </w:p>
        </w:tc>
        <w:tc>
          <w:tcPr>
            <w:tcW w:w="2627" w:type="dxa"/>
            <w:shd w:val="clear" w:color="auto" w:fill="auto"/>
            <w:vAlign w:val="center"/>
          </w:tcPr>
          <w:p w:rsidR="00C904E1" w:rsidRPr="00CF0433" w:rsidRDefault="00C904E1" w:rsidP="007451E5">
            <w:pPr>
              <w:jc w:val="center"/>
              <w:rPr>
                <w:szCs w:val="21"/>
              </w:rPr>
            </w:pPr>
            <w:r w:rsidRPr="00CF0433">
              <w:rPr>
                <w:rFonts w:hint="eastAsia"/>
                <w:szCs w:val="21"/>
              </w:rPr>
              <w:t>周可平</w:t>
            </w:r>
          </w:p>
        </w:tc>
      </w:tr>
      <w:tr w:rsidR="00C904E1" w:rsidRPr="00CF0433" w:rsidTr="00C904E1">
        <w:trPr>
          <w:trHeight w:val="567"/>
          <w:jc w:val="center"/>
        </w:trPr>
        <w:tc>
          <w:tcPr>
            <w:tcW w:w="1600" w:type="dxa"/>
            <w:shd w:val="clear" w:color="auto" w:fill="auto"/>
            <w:vAlign w:val="center"/>
          </w:tcPr>
          <w:p w:rsidR="00C904E1" w:rsidRPr="00CF0433" w:rsidRDefault="00C904E1" w:rsidP="007451E5">
            <w:pPr>
              <w:spacing w:line="360" w:lineRule="auto"/>
              <w:jc w:val="center"/>
              <w:rPr>
                <w:szCs w:val="21"/>
              </w:rPr>
            </w:pPr>
            <w:r w:rsidRPr="00CF0433">
              <w:rPr>
                <w:szCs w:val="21"/>
              </w:rPr>
              <w:t>注册地址</w:t>
            </w:r>
          </w:p>
        </w:tc>
        <w:tc>
          <w:tcPr>
            <w:tcW w:w="7526" w:type="dxa"/>
            <w:gridSpan w:val="4"/>
            <w:shd w:val="clear" w:color="auto" w:fill="auto"/>
            <w:vAlign w:val="center"/>
          </w:tcPr>
          <w:p w:rsidR="00C904E1" w:rsidRPr="00CF0433" w:rsidRDefault="00C904E1" w:rsidP="007451E5">
            <w:pPr>
              <w:jc w:val="center"/>
              <w:rPr>
                <w:bCs/>
                <w:szCs w:val="21"/>
              </w:rPr>
            </w:pPr>
            <w:r w:rsidRPr="00CF0433">
              <w:rPr>
                <w:rFonts w:hint="eastAsia"/>
                <w:szCs w:val="21"/>
              </w:rPr>
              <w:t>常州市武进区丁堰街道华丰路</w:t>
            </w:r>
            <w:r w:rsidRPr="00CF0433">
              <w:rPr>
                <w:rFonts w:hint="eastAsia"/>
                <w:szCs w:val="21"/>
              </w:rPr>
              <w:t>21</w:t>
            </w:r>
            <w:r w:rsidRPr="00CF0433">
              <w:rPr>
                <w:rFonts w:hint="eastAsia"/>
                <w:szCs w:val="21"/>
              </w:rPr>
              <w:t>号</w:t>
            </w:r>
          </w:p>
        </w:tc>
      </w:tr>
      <w:tr w:rsidR="00C904E1" w:rsidRPr="00CF0433" w:rsidTr="00C904E1">
        <w:trPr>
          <w:trHeight w:val="567"/>
          <w:jc w:val="center"/>
        </w:trPr>
        <w:tc>
          <w:tcPr>
            <w:tcW w:w="1600" w:type="dxa"/>
            <w:shd w:val="clear" w:color="auto" w:fill="auto"/>
            <w:vAlign w:val="center"/>
          </w:tcPr>
          <w:p w:rsidR="00C904E1" w:rsidRPr="00CF0433" w:rsidRDefault="00C904E1" w:rsidP="007451E5">
            <w:pPr>
              <w:spacing w:line="360" w:lineRule="auto"/>
              <w:jc w:val="center"/>
              <w:rPr>
                <w:szCs w:val="21"/>
              </w:rPr>
            </w:pPr>
            <w:r w:rsidRPr="00CF0433">
              <w:rPr>
                <w:szCs w:val="21"/>
              </w:rPr>
              <w:t>生产地址</w:t>
            </w:r>
          </w:p>
        </w:tc>
        <w:tc>
          <w:tcPr>
            <w:tcW w:w="7526" w:type="dxa"/>
            <w:gridSpan w:val="4"/>
            <w:shd w:val="clear" w:color="auto" w:fill="auto"/>
            <w:vAlign w:val="center"/>
          </w:tcPr>
          <w:p w:rsidR="00C904E1" w:rsidRPr="00CF0433" w:rsidRDefault="00C904E1" w:rsidP="007451E5">
            <w:pPr>
              <w:jc w:val="center"/>
              <w:rPr>
                <w:szCs w:val="21"/>
              </w:rPr>
            </w:pPr>
            <w:r w:rsidRPr="00CF0433">
              <w:rPr>
                <w:rFonts w:hint="eastAsia"/>
                <w:szCs w:val="21"/>
              </w:rPr>
              <w:t>常州市武进区丁堰街道华丰路</w:t>
            </w:r>
            <w:r w:rsidRPr="00CF0433">
              <w:rPr>
                <w:rFonts w:hint="eastAsia"/>
                <w:szCs w:val="21"/>
              </w:rPr>
              <w:t>21</w:t>
            </w:r>
            <w:r w:rsidRPr="00CF0433">
              <w:rPr>
                <w:rFonts w:hint="eastAsia"/>
                <w:szCs w:val="21"/>
              </w:rPr>
              <w:t>号</w:t>
            </w:r>
          </w:p>
        </w:tc>
      </w:tr>
      <w:tr w:rsidR="00C904E1" w:rsidRPr="00CF0433" w:rsidTr="00C904E1">
        <w:trPr>
          <w:trHeight w:val="567"/>
          <w:jc w:val="center"/>
        </w:trPr>
        <w:tc>
          <w:tcPr>
            <w:tcW w:w="1600" w:type="dxa"/>
            <w:shd w:val="clear" w:color="auto" w:fill="auto"/>
            <w:vAlign w:val="center"/>
          </w:tcPr>
          <w:p w:rsidR="00C904E1" w:rsidRPr="00CF0433" w:rsidRDefault="00C904E1" w:rsidP="007451E5">
            <w:pPr>
              <w:spacing w:line="360" w:lineRule="auto"/>
              <w:jc w:val="center"/>
              <w:rPr>
                <w:szCs w:val="21"/>
              </w:rPr>
            </w:pPr>
            <w:r w:rsidRPr="00CF0433">
              <w:rPr>
                <w:szCs w:val="21"/>
              </w:rPr>
              <w:t>检查日期</w:t>
            </w:r>
          </w:p>
        </w:tc>
        <w:tc>
          <w:tcPr>
            <w:tcW w:w="7526" w:type="dxa"/>
            <w:gridSpan w:val="4"/>
            <w:shd w:val="clear" w:color="auto" w:fill="auto"/>
            <w:vAlign w:val="center"/>
          </w:tcPr>
          <w:p w:rsidR="00C904E1" w:rsidRPr="00CF0433" w:rsidRDefault="00C904E1" w:rsidP="007451E5">
            <w:pPr>
              <w:spacing w:line="360" w:lineRule="auto"/>
              <w:jc w:val="center"/>
              <w:rPr>
                <w:szCs w:val="21"/>
              </w:rPr>
            </w:pPr>
            <w:r w:rsidRPr="00CF0433">
              <w:rPr>
                <w:szCs w:val="21"/>
              </w:rPr>
              <w:t>2017</w:t>
            </w:r>
            <w:r w:rsidRPr="00CF0433">
              <w:rPr>
                <w:szCs w:val="21"/>
              </w:rPr>
              <w:t>年</w:t>
            </w:r>
            <w:r w:rsidRPr="00CF0433">
              <w:rPr>
                <w:rFonts w:hint="eastAsia"/>
                <w:szCs w:val="21"/>
              </w:rPr>
              <w:t>05</w:t>
            </w:r>
            <w:r w:rsidRPr="00CF0433">
              <w:rPr>
                <w:szCs w:val="21"/>
              </w:rPr>
              <w:t>月</w:t>
            </w:r>
            <w:r w:rsidRPr="00CF0433">
              <w:rPr>
                <w:rFonts w:hint="eastAsia"/>
                <w:szCs w:val="21"/>
              </w:rPr>
              <w:t>22</w:t>
            </w:r>
            <w:r w:rsidRPr="00CF0433">
              <w:rPr>
                <w:szCs w:val="21"/>
              </w:rPr>
              <w:t>日</w:t>
            </w:r>
            <w:r w:rsidRPr="00CF0433">
              <w:rPr>
                <w:szCs w:val="21"/>
              </w:rPr>
              <w:t>-</w:t>
            </w:r>
            <w:r w:rsidRPr="00CF0433">
              <w:rPr>
                <w:rFonts w:hint="eastAsia"/>
                <w:szCs w:val="21"/>
              </w:rPr>
              <w:t>05</w:t>
            </w:r>
            <w:r w:rsidRPr="00CF0433">
              <w:rPr>
                <w:szCs w:val="21"/>
              </w:rPr>
              <w:t>月</w:t>
            </w:r>
            <w:r w:rsidRPr="00CF0433">
              <w:rPr>
                <w:rFonts w:hint="eastAsia"/>
                <w:szCs w:val="21"/>
              </w:rPr>
              <w:t>23</w:t>
            </w:r>
            <w:r w:rsidRPr="00CF0433">
              <w:rPr>
                <w:szCs w:val="21"/>
              </w:rPr>
              <w:t>日</w:t>
            </w:r>
          </w:p>
        </w:tc>
      </w:tr>
      <w:tr w:rsidR="00C904E1" w:rsidRPr="00CF0433" w:rsidTr="00C904E1">
        <w:trPr>
          <w:trHeight w:val="567"/>
          <w:jc w:val="center"/>
        </w:trPr>
        <w:tc>
          <w:tcPr>
            <w:tcW w:w="1600" w:type="dxa"/>
            <w:shd w:val="clear" w:color="auto" w:fill="auto"/>
            <w:vAlign w:val="center"/>
          </w:tcPr>
          <w:p w:rsidR="00C904E1" w:rsidRPr="00CF0433" w:rsidRDefault="00C904E1" w:rsidP="007451E5">
            <w:pPr>
              <w:spacing w:line="360" w:lineRule="auto"/>
              <w:jc w:val="center"/>
              <w:rPr>
                <w:szCs w:val="21"/>
              </w:rPr>
            </w:pPr>
            <w:r w:rsidRPr="00CF0433">
              <w:rPr>
                <w:szCs w:val="21"/>
              </w:rPr>
              <w:t>产品名称</w:t>
            </w:r>
          </w:p>
        </w:tc>
        <w:tc>
          <w:tcPr>
            <w:tcW w:w="7526" w:type="dxa"/>
            <w:gridSpan w:val="4"/>
            <w:shd w:val="clear" w:color="auto" w:fill="auto"/>
            <w:vAlign w:val="center"/>
          </w:tcPr>
          <w:p w:rsidR="00C904E1" w:rsidRPr="00CF0433" w:rsidRDefault="00C904E1" w:rsidP="007451E5">
            <w:pPr>
              <w:spacing w:line="360" w:lineRule="auto"/>
              <w:jc w:val="center"/>
              <w:rPr>
                <w:szCs w:val="21"/>
              </w:rPr>
            </w:pPr>
            <w:r w:rsidRPr="00CF0433">
              <w:rPr>
                <w:rFonts w:hint="eastAsia"/>
                <w:kern w:val="0"/>
                <w:szCs w:val="21"/>
              </w:rPr>
              <w:t>一次性使用组织导管扩张器</w:t>
            </w:r>
          </w:p>
        </w:tc>
      </w:tr>
      <w:tr w:rsidR="00C904E1" w:rsidRPr="00CF0433" w:rsidTr="00C904E1">
        <w:trPr>
          <w:trHeight w:val="479"/>
          <w:jc w:val="center"/>
        </w:trPr>
        <w:tc>
          <w:tcPr>
            <w:tcW w:w="1600" w:type="dxa"/>
            <w:shd w:val="clear" w:color="auto" w:fill="auto"/>
            <w:vAlign w:val="center"/>
          </w:tcPr>
          <w:p w:rsidR="00C904E1" w:rsidRPr="00CF0433" w:rsidRDefault="00C904E1" w:rsidP="007451E5">
            <w:pPr>
              <w:spacing w:line="360" w:lineRule="auto"/>
              <w:jc w:val="center"/>
              <w:rPr>
                <w:szCs w:val="21"/>
              </w:rPr>
            </w:pPr>
            <w:r w:rsidRPr="00CF0433">
              <w:rPr>
                <w:szCs w:val="21"/>
              </w:rPr>
              <w:t>检查目的</w:t>
            </w:r>
          </w:p>
        </w:tc>
        <w:tc>
          <w:tcPr>
            <w:tcW w:w="7526" w:type="dxa"/>
            <w:gridSpan w:val="4"/>
            <w:shd w:val="clear" w:color="auto" w:fill="auto"/>
            <w:vAlign w:val="center"/>
          </w:tcPr>
          <w:p w:rsidR="00C904E1" w:rsidRPr="00CF0433" w:rsidRDefault="00C904E1" w:rsidP="007451E5">
            <w:pPr>
              <w:spacing w:line="360" w:lineRule="auto"/>
              <w:jc w:val="center"/>
              <w:rPr>
                <w:kern w:val="0"/>
                <w:szCs w:val="21"/>
              </w:rPr>
            </w:pPr>
            <w:r w:rsidRPr="00CF0433">
              <w:rPr>
                <w:rFonts w:hint="eastAsia"/>
                <w:kern w:val="0"/>
                <w:szCs w:val="21"/>
              </w:rPr>
              <w:t>合规</w:t>
            </w:r>
            <w:r w:rsidRPr="00CF0433">
              <w:rPr>
                <w:kern w:val="0"/>
                <w:szCs w:val="21"/>
              </w:rPr>
              <w:t>检查</w:t>
            </w:r>
          </w:p>
        </w:tc>
      </w:tr>
      <w:tr w:rsidR="00C904E1" w:rsidRPr="00CF0433" w:rsidTr="00C904E1">
        <w:trPr>
          <w:trHeight w:val="567"/>
          <w:jc w:val="center"/>
        </w:trPr>
        <w:tc>
          <w:tcPr>
            <w:tcW w:w="1600" w:type="dxa"/>
            <w:shd w:val="clear" w:color="auto" w:fill="auto"/>
            <w:vAlign w:val="center"/>
          </w:tcPr>
          <w:p w:rsidR="00C904E1" w:rsidRPr="00CF0433" w:rsidRDefault="00C904E1" w:rsidP="007451E5">
            <w:pPr>
              <w:spacing w:line="360" w:lineRule="auto"/>
              <w:jc w:val="center"/>
              <w:rPr>
                <w:szCs w:val="21"/>
              </w:rPr>
            </w:pPr>
            <w:r w:rsidRPr="00CF0433">
              <w:rPr>
                <w:szCs w:val="21"/>
              </w:rPr>
              <w:t>检查依据</w:t>
            </w:r>
          </w:p>
        </w:tc>
        <w:tc>
          <w:tcPr>
            <w:tcW w:w="7526" w:type="dxa"/>
            <w:gridSpan w:val="4"/>
            <w:shd w:val="clear" w:color="auto" w:fill="auto"/>
            <w:vAlign w:val="center"/>
          </w:tcPr>
          <w:p w:rsidR="00C904E1" w:rsidRDefault="00C904E1" w:rsidP="007451E5">
            <w:pPr>
              <w:spacing w:line="360" w:lineRule="auto"/>
              <w:jc w:val="center"/>
              <w:rPr>
                <w:bCs/>
                <w:kern w:val="0"/>
                <w:szCs w:val="21"/>
              </w:rPr>
            </w:pPr>
            <w:r w:rsidRPr="00CF0433">
              <w:rPr>
                <w:bCs/>
                <w:kern w:val="0"/>
                <w:szCs w:val="21"/>
              </w:rPr>
              <w:t>《医疗器械生产质量管理规范》</w:t>
            </w:r>
          </w:p>
          <w:p w:rsidR="00C904E1" w:rsidRPr="00CF0433" w:rsidRDefault="00C904E1" w:rsidP="007451E5">
            <w:pPr>
              <w:spacing w:line="360" w:lineRule="auto"/>
              <w:jc w:val="center"/>
              <w:rPr>
                <w:bCs/>
                <w:kern w:val="0"/>
                <w:szCs w:val="21"/>
              </w:rPr>
            </w:pPr>
            <w:r w:rsidRPr="00CF0433">
              <w:rPr>
                <w:bCs/>
                <w:kern w:val="0"/>
                <w:szCs w:val="21"/>
              </w:rPr>
              <w:t>《医疗器械生产质量管理规范附录无菌医疗器械》</w:t>
            </w:r>
          </w:p>
        </w:tc>
      </w:tr>
      <w:tr w:rsidR="00C904E1" w:rsidRPr="00CF0433" w:rsidTr="00C904E1">
        <w:trPr>
          <w:trHeight w:val="906"/>
          <w:jc w:val="center"/>
        </w:trPr>
        <w:tc>
          <w:tcPr>
            <w:tcW w:w="9126" w:type="dxa"/>
            <w:gridSpan w:val="5"/>
            <w:shd w:val="clear" w:color="auto" w:fill="auto"/>
            <w:vAlign w:val="center"/>
          </w:tcPr>
          <w:p w:rsidR="00C904E1" w:rsidRPr="00CF0433" w:rsidRDefault="00C904E1" w:rsidP="007451E5">
            <w:pPr>
              <w:spacing w:line="360" w:lineRule="auto"/>
              <w:jc w:val="center"/>
              <w:rPr>
                <w:b/>
                <w:bCs/>
                <w:szCs w:val="21"/>
              </w:rPr>
            </w:pPr>
            <w:r w:rsidRPr="00CF0433">
              <w:rPr>
                <w:b/>
                <w:bCs/>
                <w:szCs w:val="21"/>
              </w:rPr>
              <w:t>主要缺陷和问题及其判定依据</w:t>
            </w:r>
          </w:p>
          <w:p w:rsidR="00C904E1" w:rsidRPr="00976371" w:rsidRDefault="00C904E1" w:rsidP="007451E5">
            <w:pPr>
              <w:spacing w:line="360" w:lineRule="auto"/>
              <w:jc w:val="left"/>
              <w:rPr>
                <w:spacing w:val="-4"/>
                <w:szCs w:val="21"/>
              </w:rPr>
            </w:pPr>
            <w:r w:rsidRPr="00976371">
              <w:rPr>
                <w:spacing w:val="-4"/>
                <w:szCs w:val="21"/>
              </w:rPr>
              <w:t>本表中所列出的缺陷和问题，只是本次飞行检查的发现，不代表企业缺陷和问题的全部。建立与本企业生产产品特点相适应的质量管理体系并保持其有效运行，是医疗器械生产企业的法定责任。</w:t>
            </w:r>
          </w:p>
        </w:tc>
      </w:tr>
      <w:tr w:rsidR="00C904E1" w:rsidRPr="00CF0433" w:rsidTr="00C904E1">
        <w:trPr>
          <w:trHeight w:val="672"/>
          <w:jc w:val="center"/>
        </w:trPr>
        <w:tc>
          <w:tcPr>
            <w:tcW w:w="1701" w:type="dxa"/>
            <w:gridSpan w:val="2"/>
            <w:tcBorders>
              <w:bottom w:val="single" w:sz="4" w:space="0" w:color="auto"/>
            </w:tcBorders>
            <w:shd w:val="clear" w:color="auto" w:fill="auto"/>
            <w:vAlign w:val="center"/>
          </w:tcPr>
          <w:p w:rsidR="00C904E1" w:rsidRPr="00CF0433" w:rsidRDefault="00C904E1" w:rsidP="007451E5">
            <w:pPr>
              <w:spacing w:line="360" w:lineRule="auto"/>
              <w:jc w:val="center"/>
              <w:rPr>
                <w:szCs w:val="21"/>
              </w:rPr>
            </w:pPr>
            <w:r w:rsidRPr="00CF0433">
              <w:rPr>
                <w:b/>
                <w:bCs/>
                <w:szCs w:val="21"/>
              </w:rPr>
              <w:t>依据条款</w:t>
            </w:r>
          </w:p>
        </w:tc>
        <w:tc>
          <w:tcPr>
            <w:tcW w:w="7425" w:type="dxa"/>
            <w:gridSpan w:val="3"/>
            <w:tcBorders>
              <w:bottom w:val="single" w:sz="4" w:space="0" w:color="auto"/>
            </w:tcBorders>
            <w:shd w:val="clear" w:color="auto" w:fill="auto"/>
            <w:vAlign w:val="center"/>
          </w:tcPr>
          <w:p w:rsidR="00C904E1" w:rsidRPr="00CF0433" w:rsidRDefault="00C904E1" w:rsidP="007451E5">
            <w:pPr>
              <w:spacing w:line="360" w:lineRule="auto"/>
              <w:jc w:val="center"/>
              <w:rPr>
                <w:b/>
                <w:szCs w:val="21"/>
              </w:rPr>
            </w:pPr>
            <w:r w:rsidRPr="00CF0433">
              <w:rPr>
                <w:b/>
                <w:szCs w:val="21"/>
              </w:rPr>
              <w:t>缺陷和问题描述</w:t>
            </w:r>
          </w:p>
        </w:tc>
      </w:tr>
      <w:tr w:rsidR="00C904E1" w:rsidRPr="00CF0433" w:rsidTr="00C904E1">
        <w:trPr>
          <w:trHeight w:val="425"/>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现场检查发现</w:t>
            </w:r>
            <w:r w:rsidRPr="00CF0433">
              <w:rPr>
                <w:rFonts w:hint="eastAsia"/>
                <w:szCs w:val="21"/>
              </w:rPr>
              <w:t>12</w:t>
            </w:r>
            <w:r w:rsidRPr="00CF0433">
              <w:rPr>
                <w:rFonts w:hint="eastAsia"/>
                <w:szCs w:val="21"/>
              </w:rPr>
              <w:t>项一般缺陷：</w:t>
            </w:r>
          </w:p>
        </w:tc>
      </w:tr>
      <w:tr w:rsidR="00C904E1" w:rsidRPr="00CF0433" w:rsidTr="00C904E1">
        <w:trPr>
          <w:trHeight w:val="524"/>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规范第</w:t>
            </w:r>
            <w:r w:rsidRPr="00CF0433">
              <w:rPr>
                <w:rFonts w:hint="eastAsia"/>
                <w:szCs w:val="21"/>
              </w:rPr>
              <w:t>八</w:t>
            </w:r>
            <w:r w:rsidRPr="00CF0433">
              <w:rPr>
                <w:szCs w:val="21"/>
              </w:rPr>
              <w:t>条</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生产部门负责人对设备管理不熟悉，不能正确回答车间现场的设备状态标识管理规定和制水空调等设备工作方式。</w:t>
            </w:r>
          </w:p>
        </w:tc>
      </w:tr>
      <w:tr w:rsidR="00C904E1" w:rsidRPr="00CF0433" w:rsidTr="00C904E1">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规范第</w:t>
            </w:r>
            <w:r w:rsidRPr="00CF0433">
              <w:rPr>
                <w:rFonts w:hint="eastAsia"/>
                <w:szCs w:val="21"/>
              </w:rPr>
              <w:t>十七</w:t>
            </w:r>
            <w:r w:rsidRPr="00CF0433">
              <w:rPr>
                <w:szCs w:val="21"/>
              </w:rPr>
              <w:t>条</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洁净车间内中间品库房内没有待验区标识。</w:t>
            </w:r>
          </w:p>
        </w:tc>
      </w:tr>
      <w:tr w:rsidR="00C904E1" w:rsidRPr="00CF0433" w:rsidTr="00C904E1">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规范第</w:t>
            </w:r>
            <w:r w:rsidRPr="00CF0433">
              <w:rPr>
                <w:rFonts w:hint="eastAsia"/>
                <w:szCs w:val="21"/>
              </w:rPr>
              <w:t>二十</w:t>
            </w:r>
            <w:r w:rsidRPr="00CF0433">
              <w:rPr>
                <w:szCs w:val="21"/>
              </w:rPr>
              <w:t>条</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rPr>
                <w:szCs w:val="21"/>
              </w:rPr>
            </w:pPr>
            <w:r w:rsidRPr="00CF0433">
              <w:rPr>
                <w:rFonts w:hint="eastAsia"/>
                <w:szCs w:val="21"/>
              </w:rPr>
              <w:t>生产现场的生产设备状态标识不统一，有两种版本的状态标识，对正运行的生产设备，一种标识是“运行”，另一种是“完好”。</w:t>
            </w:r>
          </w:p>
        </w:tc>
      </w:tr>
      <w:tr w:rsidR="00C904E1" w:rsidRPr="00CF0433" w:rsidTr="00C904E1">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t>规范第</w:t>
            </w:r>
            <w:r w:rsidRPr="00CF0433">
              <w:rPr>
                <w:rFonts w:hint="eastAsia"/>
                <w:szCs w:val="21"/>
              </w:rPr>
              <w:t>二十三</w:t>
            </w:r>
            <w:r w:rsidRPr="00CF0433">
              <w:rPr>
                <w:szCs w:val="21"/>
              </w:rPr>
              <w:t>条</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jc w:val="left"/>
              <w:rPr>
                <w:szCs w:val="21"/>
              </w:rPr>
            </w:pPr>
            <w:r w:rsidRPr="00CF0433">
              <w:rPr>
                <w:rFonts w:hint="eastAsia"/>
                <w:szCs w:val="21"/>
              </w:rPr>
              <w:t>粗洗间用于监视超声清洗温度的水银温度计没有计量检定标识，计量检定证书的有效期也已过期；空调系统上监视初效和中效阻力的压差计上无计量检定标识。</w:t>
            </w:r>
          </w:p>
        </w:tc>
      </w:tr>
      <w:tr w:rsidR="00C904E1" w:rsidRPr="00CF0433" w:rsidTr="00C904E1">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szCs w:val="21"/>
              </w:rPr>
              <w:lastRenderedPageBreak/>
              <w:t>规范第</w:t>
            </w:r>
            <w:r w:rsidRPr="00CF0433">
              <w:rPr>
                <w:rFonts w:hint="eastAsia"/>
                <w:szCs w:val="21"/>
              </w:rPr>
              <w:t>二十五</w:t>
            </w:r>
            <w:r w:rsidRPr="00CF0433">
              <w:rPr>
                <w:szCs w:val="21"/>
              </w:rPr>
              <w:t>条</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rPr>
                <w:szCs w:val="21"/>
              </w:rPr>
            </w:pPr>
            <w:r w:rsidRPr="00CF0433">
              <w:rPr>
                <w:rFonts w:hint="eastAsia"/>
                <w:szCs w:val="21"/>
              </w:rPr>
              <w:t>灭菌控制程序文件（</w:t>
            </w:r>
            <w:r w:rsidRPr="00CF0433">
              <w:rPr>
                <w:rFonts w:hint="eastAsia"/>
                <w:szCs w:val="21"/>
              </w:rPr>
              <w:t>VMIC/CX-24-2014</w:t>
            </w:r>
            <w:r w:rsidRPr="00CF0433">
              <w:rPr>
                <w:rFonts w:hint="eastAsia"/>
                <w:szCs w:val="21"/>
              </w:rPr>
              <w:t>）为作废文件未明确标识。工作现场使用的文件（产品留样观察制度</w:t>
            </w:r>
            <w:r w:rsidRPr="00CF0433">
              <w:rPr>
                <w:rFonts w:hint="eastAsia"/>
                <w:szCs w:val="21"/>
              </w:rPr>
              <w:t>VMIC/ZD-032-2010-</w:t>
            </w:r>
            <w:r w:rsidRPr="00CF0433">
              <w:rPr>
                <w:szCs w:val="21"/>
              </w:rPr>
              <w:t>B</w:t>
            </w:r>
            <w:r w:rsidRPr="00CF0433">
              <w:rPr>
                <w:rFonts w:hint="eastAsia"/>
                <w:szCs w:val="21"/>
              </w:rPr>
              <w:t>/0</w:t>
            </w:r>
            <w:r w:rsidRPr="00CF0433">
              <w:rPr>
                <w:rFonts w:hint="eastAsia"/>
                <w:szCs w:val="21"/>
              </w:rPr>
              <w:t>）为作废文件未明确标识。</w:t>
            </w:r>
          </w:p>
        </w:tc>
      </w:tr>
      <w:tr w:rsidR="00C904E1" w:rsidRPr="00CF0433" w:rsidTr="00C904E1">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jc w:val="left"/>
              <w:rPr>
                <w:szCs w:val="21"/>
              </w:rPr>
            </w:pPr>
            <w:r w:rsidRPr="00CF0433">
              <w:rPr>
                <w:rFonts w:hint="eastAsia"/>
                <w:szCs w:val="21"/>
              </w:rPr>
              <w:t>规范第四十八条</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rPr>
                <w:szCs w:val="21"/>
              </w:rPr>
            </w:pPr>
            <w:r w:rsidRPr="00CF0433">
              <w:rPr>
                <w:rFonts w:hint="eastAsia"/>
                <w:szCs w:val="21"/>
              </w:rPr>
              <w:t>封装车间工作环境温度较高，未依据工艺特点设置温湿度监测装置</w:t>
            </w:r>
          </w:p>
        </w:tc>
      </w:tr>
      <w:tr w:rsidR="00C904E1" w:rsidRPr="00CF0433" w:rsidTr="00C904E1">
        <w:trPr>
          <w:trHeight w:val="389"/>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附录</w:t>
            </w:r>
            <w:r w:rsidRPr="00CF0433">
              <w:rPr>
                <w:rFonts w:hint="eastAsia"/>
                <w:szCs w:val="21"/>
              </w:rPr>
              <w:t>2.2.1</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工厂旁有施工工地，对厂区空气污染的影响，企业未进行评估和验证。</w:t>
            </w:r>
          </w:p>
        </w:tc>
      </w:tr>
      <w:tr w:rsidR="00C904E1" w:rsidRPr="00CF0433" w:rsidTr="00C904E1">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rPr>
                <w:szCs w:val="21"/>
              </w:rPr>
            </w:pPr>
            <w:r w:rsidRPr="00CF0433">
              <w:rPr>
                <w:rFonts w:hint="eastAsia"/>
                <w:szCs w:val="21"/>
              </w:rPr>
              <w:t>附录</w:t>
            </w:r>
            <w:r w:rsidRPr="00CF0433">
              <w:rPr>
                <w:rFonts w:hint="eastAsia"/>
                <w:szCs w:val="21"/>
              </w:rPr>
              <w:t>2.2.2</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rPr>
                <w:szCs w:val="21"/>
              </w:rPr>
            </w:pPr>
            <w:r w:rsidRPr="00CF0433">
              <w:rPr>
                <w:rFonts w:hint="eastAsia"/>
                <w:szCs w:val="21"/>
              </w:rPr>
              <w:t>阳性对照间与缓冲走廊之间的压差为正压。</w:t>
            </w:r>
          </w:p>
        </w:tc>
      </w:tr>
      <w:tr w:rsidR="00C904E1" w:rsidRPr="00CF0433" w:rsidTr="00C904E1">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jc w:val="left"/>
              <w:rPr>
                <w:szCs w:val="21"/>
              </w:rPr>
            </w:pPr>
            <w:r w:rsidRPr="00CF0433">
              <w:rPr>
                <w:rFonts w:hint="eastAsia"/>
                <w:szCs w:val="21"/>
              </w:rPr>
              <w:t>附录</w:t>
            </w:r>
            <w:r w:rsidRPr="00CF0433">
              <w:rPr>
                <w:rFonts w:hint="eastAsia"/>
                <w:szCs w:val="21"/>
              </w:rPr>
              <w:t>2.3.4</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rPr>
                <w:szCs w:val="21"/>
              </w:rPr>
            </w:pPr>
            <w:r w:rsidRPr="00CF0433">
              <w:rPr>
                <w:rFonts w:hint="eastAsia"/>
                <w:szCs w:val="21"/>
              </w:rPr>
              <w:t>纯化水制备系统的清洗消毒采用化学消毒法，但纯化水储罐未设置取水点，无法监测纯化水储罐内化学残留物的清洁效果。</w:t>
            </w:r>
          </w:p>
        </w:tc>
      </w:tr>
      <w:tr w:rsidR="00C904E1" w:rsidRPr="00CF0433" w:rsidTr="00C904E1">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jc w:val="left"/>
              <w:rPr>
                <w:szCs w:val="21"/>
              </w:rPr>
            </w:pPr>
            <w:r w:rsidRPr="00CF0433">
              <w:rPr>
                <w:rFonts w:hint="eastAsia"/>
                <w:szCs w:val="21"/>
              </w:rPr>
              <w:t>附录</w:t>
            </w:r>
            <w:r w:rsidRPr="00CF0433">
              <w:rPr>
                <w:rFonts w:hint="eastAsia"/>
                <w:szCs w:val="21"/>
              </w:rPr>
              <w:t>2.6.4</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jc w:val="left"/>
              <w:rPr>
                <w:szCs w:val="21"/>
              </w:rPr>
            </w:pPr>
            <w:r w:rsidRPr="00CF0433">
              <w:rPr>
                <w:rFonts w:hint="eastAsia"/>
                <w:szCs w:val="21"/>
              </w:rPr>
              <w:t>器具洗存间已清洁周转箱放置在回风口旁边。</w:t>
            </w:r>
          </w:p>
        </w:tc>
      </w:tr>
      <w:tr w:rsidR="00C904E1" w:rsidRPr="00CF0433" w:rsidTr="00C904E1">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jc w:val="left"/>
              <w:rPr>
                <w:szCs w:val="21"/>
              </w:rPr>
            </w:pPr>
            <w:r w:rsidRPr="00CF0433">
              <w:rPr>
                <w:rFonts w:hint="eastAsia"/>
                <w:szCs w:val="21"/>
              </w:rPr>
              <w:t>附录</w:t>
            </w:r>
            <w:r w:rsidRPr="00CF0433">
              <w:rPr>
                <w:rFonts w:hint="eastAsia"/>
                <w:szCs w:val="21"/>
              </w:rPr>
              <w:t>2.7.2</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jc w:val="left"/>
              <w:rPr>
                <w:szCs w:val="21"/>
              </w:rPr>
            </w:pPr>
            <w:r w:rsidRPr="00CF0433">
              <w:rPr>
                <w:rFonts w:hint="eastAsia"/>
                <w:szCs w:val="21"/>
              </w:rPr>
              <w:t>纯化水检验作业指导书（</w:t>
            </w:r>
            <w:r w:rsidRPr="00CF0433">
              <w:rPr>
                <w:rFonts w:hint="eastAsia"/>
                <w:szCs w:val="21"/>
              </w:rPr>
              <w:t>VMIC/JS-029.13-2015-</w:t>
            </w:r>
            <w:r w:rsidRPr="00CF0433">
              <w:rPr>
                <w:szCs w:val="21"/>
              </w:rPr>
              <w:t>C/0</w:t>
            </w:r>
            <w:r w:rsidRPr="00CF0433">
              <w:rPr>
                <w:rFonts w:hint="eastAsia"/>
                <w:szCs w:val="21"/>
              </w:rPr>
              <w:t>）中规定氨的检验依据为《中国药典》（</w:t>
            </w:r>
            <w:r w:rsidRPr="00CF0433">
              <w:rPr>
                <w:rFonts w:hint="eastAsia"/>
                <w:szCs w:val="21"/>
              </w:rPr>
              <w:t>2015</w:t>
            </w:r>
            <w:r w:rsidRPr="00CF0433">
              <w:rPr>
                <w:rFonts w:hint="eastAsia"/>
                <w:szCs w:val="21"/>
              </w:rPr>
              <w:t>版），而纯化水检验记录中氨的检验依据为</w:t>
            </w:r>
            <w:r w:rsidRPr="00CF0433">
              <w:rPr>
                <w:rFonts w:hint="eastAsia"/>
                <w:szCs w:val="21"/>
              </w:rPr>
              <w:t xml:space="preserve">HJ535-2009 </w:t>
            </w:r>
            <w:r w:rsidRPr="00CF0433">
              <w:rPr>
                <w:rFonts w:hint="eastAsia"/>
                <w:szCs w:val="21"/>
              </w:rPr>
              <w:t>水质氨氮的测定纳氏试剂分光光度法。纯化水管理制度（</w:t>
            </w:r>
            <w:r w:rsidRPr="00CF0433">
              <w:rPr>
                <w:rFonts w:hint="eastAsia"/>
                <w:szCs w:val="21"/>
              </w:rPr>
              <w:t>VMIC/ZD-046-2015</w:t>
            </w:r>
            <w:r w:rsidRPr="00CF0433">
              <w:rPr>
                <w:szCs w:val="21"/>
              </w:rPr>
              <w:t>-A/1</w:t>
            </w:r>
            <w:r w:rsidRPr="00CF0433">
              <w:rPr>
                <w:szCs w:val="21"/>
              </w:rPr>
              <w:t>）</w:t>
            </w:r>
            <w:r w:rsidRPr="00CF0433">
              <w:rPr>
                <w:rFonts w:hint="eastAsia"/>
                <w:szCs w:val="21"/>
              </w:rPr>
              <w:t>中规定每</w:t>
            </w:r>
            <w:r w:rsidRPr="00CF0433">
              <w:rPr>
                <w:rFonts w:hint="eastAsia"/>
                <w:szCs w:val="21"/>
              </w:rPr>
              <w:t>2</w:t>
            </w:r>
            <w:r w:rsidRPr="00CF0433">
              <w:rPr>
                <w:rFonts w:hint="eastAsia"/>
                <w:szCs w:val="21"/>
              </w:rPr>
              <w:t>小时检验纯化水酸碱度，制水间现场未发现水质监测设备，纯化水水质监测记录中检验项目为</w:t>
            </w:r>
            <w:r w:rsidRPr="00CF0433">
              <w:rPr>
                <w:rFonts w:hint="eastAsia"/>
                <w:szCs w:val="21"/>
              </w:rPr>
              <w:t>PH</w:t>
            </w:r>
            <w:r w:rsidRPr="00CF0433">
              <w:rPr>
                <w:rFonts w:hint="eastAsia"/>
                <w:szCs w:val="21"/>
              </w:rPr>
              <w:t>值。</w:t>
            </w:r>
          </w:p>
        </w:tc>
      </w:tr>
      <w:tr w:rsidR="00C904E1" w:rsidRPr="00CF0433" w:rsidTr="00C904E1">
        <w:trPr>
          <w:trHeight w:val="333"/>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jc w:val="left"/>
              <w:rPr>
                <w:szCs w:val="21"/>
              </w:rPr>
            </w:pPr>
            <w:r w:rsidRPr="00CF0433">
              <w:rPr>
                <w:rFonts w:hint="eastAsia"/>
                <w:szCs w:val="21"/>
              </w:rPr>
              <w:t>附录</w:t>
            </w:r>
            <w:r w:rsidRPr="00CF0433">
              <w:rPr>
                <w:rFonts w:hint="eastAsia"/>
                <w:szCs w:val="21"/>
              </w:rPr>
              <w:t>2.7.5</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4E1" w:rsidRPr="00CF0433" w:rsidRDefault="00C904E1" w:rsidP="007451E5">
            <w:pPr>
              <w:spacing w:line="360" w:lineRule="auto"/>
              <w:jc w:val="left"/>
              <w:rPr>
                <w:szCs w:val="21"/>
              </w:rPr>
            </w:pPr>
            <w:r w:rsidRPr="00CF0433">
              <w:rPr>
                <w:rFonts w:hint="eastAsia"/>
                <w:szCs w:val="21"/>
              </w:rPr>
              <w:t>发现水质监测设备，纯化水水质监测记录中检验项目为</w:t>
            </w:r>
            <w:r w:rsidRPr="00CF0433">
              <w:rPr>
                <w:rFonts w:hint="eastAsia"/>
                <w:szCs w:val="21"/>
              </w:rPr>
              <w:t>PH</w:t>
            </w:r>
            <w:r w:rsidRPr="00CF0433">
              <w:rPr>
                <w:rFonts w:hint="eastAsia"/>
                <w:szCs w:val="21"/>
              </w:rPr>
              <w:t>值。</w:t>
            </w:r>
          </w:p>
          <w:p w:rsidR="00C904E1" w:rsidRPr="00CF0433" w:rsidRDefault="00C904E1" w:rsidP="007451E5">
            <w:pPr>
              <w:spacing w:line="360" w:lineRule="auto"/>
              <w:rPr>
                <w:szCs w:val="21"/>
              </w:rPr>
            </w:pPr>
            <w:r w:rsidRPr="00CF0433">
              <w:rPr>
                <w:rFonts w:hint="eastAsia"/>
                <w:szCs w:val="21"/>
              </w:rPr>
              <w:t>成品留样室空间较小，部分产品留样未保留最小包装。产品留样管理制度（</w:t>
            </w:r>
            <w:r w:rsidRPr="00CF0433">
              <w:rPr>
                <w:rFonts w:hint="eastAsia"/>
                <w:szCs w:val="21"/>
              </w:rPr>
              <w:t>VMIC/ZD-032-2015-B/2</w:t>
            </w:r>
            <w:r w:rsidRPr="00CF0433">
              <w:rPr>
                <w:rFonts w:hint="eastAsia"/>
                <w:szCs w:val="21"/>
              </w:rPr>
              <w:t>）中规定了一般留样和重点留样的要求，但实际生产时企业按照一般留样规定进行留样。</w:t>
            </w:r>
          </w:p>
        </w:tc>
      </w:tr>
      <w:tr w:rsidR="00C904E1" w:rsidRPr="00CF0433" w:rsidTr="00C904E1">
        <w:trPr>
          <w:trHeight w:val="333"/>
          <w:jc w:val="center"/>
        </w:trPr>
        <w:tc>
          <w:tcPr>
            <w:tcW w:w="9126" w:type="dxa"/>
            <w:gridSpan w:val="5"/>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jc w:val="center"/>
              <w:rPr>
                <w:szCs w:val="21"/>
              </w:rPr>
            </w:pPr>
            <w:r w:rsidRPr="00CF0433">
              <w:rPr>
                <w:b/>
                <w:bCs/>
                <w:szCs w:val="21"/>
              </w:rPr>
              <w:t>处理措施</w:t>
            </w:r>
          </w:p>
        </w:tc>
      </w:tr>
      <w:tr w:rsidR="00C904E1" w:rsidRPr="00CF0433" w:rsidTr="00C904E1">
        <w:trPr>
          <w:trHeight w:val="333"/>
          <w:jc w:val="center"/>
        </w:trPr>
        <w:tc>
          <w:tcPr>
            <w:tcW w:w="9126" w:type="dxa"/>
            <w:gridSpan w:val="5"/>
            <w:tcBorders>
              <w:top w:val="single" w:sz="4" w:space="0" w:color="auto"/>
              <w:left w:val="single" w:sz="4" w:space="0" w:color="auto"/>
              <w:bottom w:val="single" w:sz="4" w:space="0" w:color="auto"/>
              <w:right w:val="single" w:sz="4" w:space="0" w:color="auto"/>
            </w:tcBorders>
            <w:shd w:val="clear" w:color="auto" w:fill="auto"/>
          </w:tcPr>
          <w:p w:rsidR="00C904E1" w:rsidRPr="00CF0433" w:rsidRDefault="00C904E1" w:rsidP="007451E5">
            <w:pPr>
              <w:spacing w:line="360" w:lineRule="auto"/>
              <w:jc w:val="center"/>
              <w:rPr>
                <w:szCs w:val="21"/>
              </w:rPr>
            </w:pPr>
            <w:r w:rsidRPr="00CF0433">
              <w:rPr>
                <w:rFonts w:hint="eastAsia"/>
                <w:szCs w:val="21"/>
              </w:rPr>
              <w:t>限期整改</w:t>
            </w:r>
          </w:p>
        </w:tc>
      </w:tr>
    </w:tbl>
    <w:p w:rsidR="00C904E1" w:rsidRPr="00CF0433" w:rsidRDefault="00C904E1" w:rsidP="00C904E1"/>
    <w:p w:rsidR="00C904E1" w:rsidRPr="00CF0433" w:rsidRDefault="00C904E1" w:rsidP="00C904E1">
      <w:pPr>
        <w:widowControl/>
        <w:jc w:val="left"/>
      </w:pPr>
    </w:p>
    <w:p w:rsidR="00C904E1" w:rsidRPr="00CF0433" w:rsidRDefault="00773A4B" w:rsidP="00C904E1">
      <w:pPr>
        <w:ind w:leftChars="153" w:left="1679" w:hangingChars="485" w:hanging="1358"/>
        <w:rPr>
          <w:rFonts w:eastAsia="仿宋_GB2312"/>
          <w:sz w:val="28"/>
          <w:szCs w:val="28"/>
        </w:rPr>
      </w:pPr>
      <w:r w:rsidRPr="00773A4B">
        <w:rPr>
          <w:noProof/>
          <w:sz w:val="28"/>
          <w:szCs w:val="28"/>
        </w:rPr>
        <w:pict>
          <v:line id="直接连接符 1" o:spid="_x0000_s1027" style="position:absolute;left:0;text-align:left;z-index:251659264;visibility:visible" from="-9pt,639.6pt" to="414pt,6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" strokeweight="4pt">
            <v:stroke linestyle="thinThick"/>
          </v:line>
        </w:pict>
      </w:r>
      <w:bookmarkStart w:id="0" w:name="ChaoSongΩ1"/>
      <w:bookmarkEnd w:id="0"/>
    </w:p>
    <w:p w:rsidR="002C0AE4" w:rsidRDefault="002C0AE4"/>
    <w:sectPr w:rsidR="002C0AE4" w:rsidSect="00932118">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3C6" w:rsidRDefault="007433C6" w:rsidP="00C904E1">
      <w:r>
        <w:separator/>
      </w:r>
    </w:p>
  </w:endnote>
  <w:endnote w:type="continuationSeparator" w:id="1">
    <w:p w:rsidR="007433C6" w:rsidRDefault="007433C6" w:rsidP="00C904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6C" w:rsidRPr="00932118" w:rsidRDefault="005B6E09">
    <w:pPr>
      <w:pStyle w:val="a4"/>
      <w:rPr>
        <w:sz w:val="28"/>
        <w:szCs w:val="28"/>
      </w:rPr>
    </w:pPr>
    <w:r w:rsidRPr="00932118">
      <w:rPr>
        <w:rFonts w:hint="eastAsia"/>
        <w:color w:val="FFFFFF"/>
        <w:sz w:val="28"/>
        <w:szCs w:val="28"/>
      </w:rPr>
      <w:t>—</w:t>
    </w:r>
    <w:r>
      <w:rPr>
        <w:rFonts w:hint="eastAsia"/>
        <w:sz w:val="28"/>
        <w:szCs w:val="28"/>
      </w:rPr>
      <w:t>—</w:t>
    </w:r>
    <w:r w:rsidR="00773A4B" w:rsidRPr="00932118">
      <w:rPr>
        <w:sz w:val="28"/>
        <w:szCs w:val="28"/>
      </w:rPr>
      <w:fldChar w:fldCharType="begin"/>
    </w:r>
    <w:r w:rsidRPr="00932118">
      <w:rPr>
        <w:sz w:val="28"/>
        <w:szCs w:val="28"/>
      </w:rPr>
      <w:instrText>PAGE   \* MERGEFORMAT</w:instrText>
    </w:r>
    <w:r w:rsidR="00773A4B" w:rsidRPr="00932118">
      <w:rPr>
        <w:sz w:val="28"/>
        <w:szCs w:val="28"/>
      </w:rPr>
      <w:fldChar w:fldCharType="separate"/>
    </w:r>
    <w:r w:rsidRPr="00290470">
      <w:rPr>
        <w:noProof/>
        <w:sz w:val="28"/>
        <w:szCs w:val="28"/>
        <w:lang w:val="zh-CN"/>
      </w:rPr>
      <w:t>6</w:t>
    </w:r>
    <w:r w:rsidR="00773A4B" w:rsidRPr="00932118">
      <w:rPr>
        <w:sz w:val="28"/>
        <w:szCs w:val="28"/>
      </w:rPr>
      <w:fldChar w:fldCharType="end"/>
    </w:r>
    <w:r>
      <w:rPr>
        <w:rFonts w:hint="eastAsia"/>
        <w:sz w:val="28"/>
        <w:szCs w:val="28"/>
      </w:rPr>
      <w:t>—</w:t>
    </w:r>
  </w:p>
  <w:p w:rsidR="00054F05" w:rsidRDefault="007433C6"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6C" w:rsidRPr="00932118" w:rsidRDefault="005B6E09" w:rsidP="00932118">
    <w:pPr>
      <w:pStyle w:val="a4"/>
      <w:wordWrap w:val="0"/>
      <w:jc w:val="right"/>
      <w:rPr>
        <w:sz w:val="28"/>
        <w:szCs w:val="28"/>
      </w:rPr>
    </w:pPr>
    <w:r>
      <w:rPr>
        <w:rFonts w:hint="eastAsia"/>
        <w:sz w:val="28"/>
        <w:szCs w:val="28"/>
      </w:rPr>
      <w:t>—</w:t>
    </w:r>
    <w:r w:rsidR="00773A4B" w:rsidRPr="00932118">
      <w:rPr>
        <w:sz w:val="28"/>
        <w:szCs w:val="28"/>
      </w:rPr>
      <w:fldChar w:fldCharType="begin"/>
    </w:r>
    <w:r w:rsidRPr="00932118">
      <w:rPr>
        <w:sz w:val="28"/>
        <w:szCs w:val="28"/>
      </w:rPr>
      <w:instrText>PAGE   \* MERGEFORMAT</w:instrText>
    </w:r>
    <w:r w:rsidR="00773A4B" w:rsidRPr="00932118">
      <w:rPr>
        <w:sz w:val="28"/>
        <w:szCs w:val="28"/>
      </w:rPr>
      <w:fldChar w:fldCharType="separate"/>
    </w:r>
    <w:r w:rsidR="002F0DCA" w:rsidRPr="002F0DCA">
      <w:rPr>
        <w:noProof/>
        <w:sz w:val="28"/>
        <w:szCs w:val="28"/>
        <w:lang w:val="zh-CN"/>
      </w:rPr>
      <w:t>2</w:t>
    </w:r>
    <w:r w:rsidR="00773A4B" w:rsidRPr="00932118">
      <w:rPr>
        <w:sz w:val="28"/>
        <w:szCs w:val="28"/>
      </w:rPr>
      <w:fldChar w:fldCharType="end"/>
    </w:r>
    <w:r>
      <w:rPr>
        <w:rFonts w:hint="eastAsia"/>
        <w:sz w:val="28"/>
        <w:szCs w:val="28"/>
      </w:rPr>
      <w:t>—</w:t>
    </w:r>
    <w:r w:rsidRPr="00932118">
      <w:rPr>
        <w:rFonts w:hint="eastAsia"/>
        <w:color w:val="FFFFFF"/>
        <w:sz w:val="28"/>
        <w:szCs w:val="28"/>
      </w:rPr>
      <w:t>—</w:t>
    </w:r>
  </w:p>
  <w:p w:rsidR="00054F05" w:rsidRDefault="007433C6"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3C6" w:rsidRDefault="007433C6" w:rsidP="00C904E1">
      <w:r>
        <w:separator/>
      </w:r>
    </w:p>
  </w:footnote>
  <w:footnote w:type="continuationSeparator" w:id="1">
    <w:p w:rsidR="007433C6" w:rsidRDefault="007433C6" w:rsidP="00C904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418D"/>
    <w:rsid w:val="00063CB8"/>
    <w:rsid w:val="002C0AE4"/>
    <w:rsid w:val="002F0DCA"/>
    <w:rsid w:val="003E16A8"/>
    <w:rsid w:val="005B6E09"/>
    <w:rsid w:val="006640FB"/>
    <w:rsid w:val="007433C6"/>
    <w:rsid w:val="00773A4B"/>
    <w:rsid w:val="00C2418D"/>
    <w:rsid w:val="00C904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4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04E1"/>
    <w:rPr>
      <w:sz w:val="18"/>
      <w:szCs w:val="18"/>
    </w:rPr>
  </w:style>
  <w:style w:type="paragraph" w:styleId="a4">
    <w:name w:val="footer"/>
    <w:basedOn w:val="a"/>
    <w:link w:val="Char0"/>
    <w:uiPriority w:val="99"/>
    <w:unhideWhenUsed/>
    <w:rsid w:val="00C904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04E1"/>
    <w:rPr>
      <w:sz w:val="18"/>
      <w:szCs w:val="18"/>
    </w:rPr>
  </w:style>
  <w:style w:type="paragraph" w:styleId="a5">
    <w:name w:val="Balloon Text"/>
    <w:basedOn w:val="a"/>
    <w:link w:val="Char1"/>
    <w:uiPriority w:val="99"/>
    <w:semiHidden/>
    <w:unhideWhenUsed/>
    <w:rsid w:val="00C904E1"/>
    <w:rPr>
      <w:sz w:val="18"/>
      <w:szCs w:val="18"/>
    </w:rPr>
  </w:style>
  <w:style w:type="character" w:customStyle="1" w:styleId="Char1">
    <w:name w:val="批注框文本 Char"/>
    <w:basedOn w:val="a0"/>
    <w:link w:val="a5"/>
    <w:uiPriority w:val="99"/>
    <w:semiHidden/>
    <w:rsid w:val="00C904E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4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04E1"/>
    <w:rPr>
      <w:sz w:val="18"/>
      <w:szCs w:val="18"/>
    </w:rPr>
  </w:style>
  <w:style w:type="paragraph" w:styleId="a4">
    <w:name w:val="footer"/>
    <w:basedOn w:val="a"/>
    <w:link w:val="Char0"/>
    <w:uiPriority w:val="99"/>
    <w:unhideWhenUsed/>
    <w:rsid w:val="00C904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04E1"/>
    <w:rPr>
      <w:sz w:val="18"/>
      <w:szCs w:val="18"/>
    </w:rPr>
  </w:style>
  <w:style w:type="paragraph" w:styleId="a5">
    <w:name w:val="Balloon Text"/>
    <w:basedOn w:val="a"/>
    <w:link w:val="Char1"/>
    <w:uiPriority w:val="99"/>
    <w:semiHidden/>
    <w:unhideWhenUsed/>
    <w:rsid w:val="00C904E1"/>
    <w:rPr>
      <w:sz w:val="18"/>
      <w:szCs w:val="18"/>
    </w:rPr>
  </w:style>
  <w:style w:type="character" w:customStyle="1" w:styleId="Char1">
    <w:name w:val="批注框文本 Char"/>
    <w:basedOn w:val="a0"/>
    <w:link w:val="a5"/>
    <w:uiPriority w:val="99"/>
    <w:semiHidden/>
    <w:rsid w:val="00C904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1039</Characters>
  <Application>Microsoft Office Word</Application>
  <DocSecurity>0</DocSecurity>
  <Lines>8</Lines>
  <Paragraphs>2</Paragraphs>
  <ScaleCrop>false</ScaleCrop>
  <Company>CFDA</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wxl</cp:lastModifiedBy>
  <cp:revision>2</cp:revision>
  <dcterms:created xsi:type="dcterms:W3CDTF">2017-06-23T09:38:00Z</dcterms:created>
  <dcterms:modified xsi:type="dcterms:W3CDTF">2017-06-23T09:38:00Z</dcterms:modified>
</cp:coreProperties>
</file>