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4E1" w:rsidRPr="00932118" w:rsidRDefault="00C904E1" w:rsidP="00C904E1">
      <w:pPr>
        <w:spacing w:line="600" w:lineRule="exact"/>
        <w:rPr>
          <w:rFonts w:ascii="黑体" w:eastAsia="黑体" w:hAnsi="黑体"/>
          <w:sz w:val="32"/>
          <w:szCs w:val="32"/>
        </w:rPr>
      </w:pPr>
      <w:r w:rsidRPr="00932118">
        <w:rPr>
          <w:rFonts w:ascii="黑体" w:eastAsia="黑体" w:hAnsi="黑体" w:hint="eastAsia"/>
          <w:sz w:val="32"/>
          <w:szCs w:val="32"/>
        </w:rPr>
        <w:t>附件1</w:t>
      </w:r>
    </w:p>
    <w:p w:rsidR="00C904E1" w:rsidRPr="00976371" w:rsidRDefault="00C904E1" w:rsidP="00C904E1">
      <w:pPr>
        <w:spacing w:line="600" w:lineRule="exact"/>
        <w:rPr>
          <w:rFonts w:eastAsia="黑体"/>
          <w:sz w:val="32"/>
          <w:szCs w:val="32"/>
        </w:rPr>
      </w:pPr>
    </w:p>
    <w:p w:rsidR="00C904E1" w:rsidRPr="00CF0433" w:rsidRDefault="00C904E1" w:rsidP="00C904E1">
      <w:pPr>
        <w:spacing w:line="600" w:lineRule="exact"/>
        <w:jc w:val="center"/>
        <w:rPr>
          <w:rFonts w:eastAsia="仿宋"/>
          <w:sz w:val="32"/>
          <w:szCs w:val="32"/>
        </w:rPr>
      </w:pPr>
      <w:r w:rsidRPr="00CF0433">
        <w:rPr>
          <w:rFonts w:eastAsia="方正小标宋简体" w:hint="eastAsia"/>
          <w:sz w:val="44"/>
          <w:szCs w:val="44"/>
        </w:rPr>
        <w:t>苏州法兰克曼医疗器械有限公司检查情况表</w:t>
      </w:r>
    </w:p>
    <w:tbl>
      <w:tblPr>
        <w:tblW w:w="9126"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5"/>
        <w:gridCol w:w="108"/>
        <w:gridCol w:w="3493"/>
        <w:gridCol w:w="1308"/>
        <w:gridCol w:w="2632"/>
      </w:tblGrid>
      <w:tr w:rsidR="00C904E1" w:rsidRPr="00CF0433" w:rsidTr="00C904E1">
        <w:trPr>
          <w:trHeight w:val="611"/>
          <w:jc w:val="center"/>
        </w:trPr>
        <w:tc>
          <w:tcPr>
            <w:tcW w:w="1585" w:type="dxa"/>
            <w:shd w:val="clear" w:color="auto" w:fill="auto"/>
            <w:vAlign w:val="center"/>
          </w:tcPr>
          <w:p w:rsidR="00C904E1" w:rsidRPr="00CF0433" w:rsidRDefault="00C904E1" w:rsidP="007451E5">
            <w:pPr>
              <w:spacing w:line="360" w:lineRule="auto"/>
              <w:jc w:val="center"/>
              <w:rPr>
                <w:szCs w:val="21"/>
              </w:rPr>
            </w:pPr>
            <w:r w:rsidRPr="00CF0433">
              <w:rPr>
                <w:szCs w:val="21"/>
              </w:rPr>
              <w:t>企业名称</w:t>
            </w:r>
          </w:p>
        </w:tc>
        <w:tc>
          <w:tcPr>
            <w:tcW w:w="3601" w:type="dxa"/>
            <w:gridSpan w:val="2"/>
            <w:shd w:val="clear" w:color="auto" w:fill="auto"/>
            <w:vAlign w:val="center"/>
          </w:tcPr>
          <w:p w:rsidR="00C904E1" w:rsidRPr="00CF0433" w:rsidRDefault="00C904E1" w:rsidP="007451E5">
            <w:pPr>
              <w:jc w:val="center"/>
              <w:rPr>
                <w:szCs w:val="21"/>
              </w:rPr>
            </w:pPr>
            <w:r w:rsidRPr="00CF0433">
              <w:rPr>
                <w:rFonts w:hint="eastAsia"/>
                <w:szCs w:val="21"/>
              </w:rPr>
              <w:t>苏州法兰克曼医疗器械有限公司</w:t>
            </w:r>
          </w:p>
        </w:tc>
        <w:tc>
          <w:tcPr>
            <w:tcW w:w="1308" w:type="dxa"/>
            <w:shd w:val="clear" w:color="auto" w:fill="auto"/>
            <w:vAlign w:val="center"/>
          </w:tcPr>
          <w:p w:rsidR="00C904E1" w:rsidRPr="00CF0433" w:rsidRDefault="00C904E1" w:rsidP="007451E5">
            <w:pPr>
              <w:snapToGrid w:val="0"/>
              <w:spacing w:line="240" w:lineRule="atLeast"/>
              <w:ind w:rightChars="-36" w:right="-76" w:firstLineChars="18" w:firstLine="38"/>
              <w:jc w:val="center"/>
              <w:rPr>
                <w:szCs w:val="21"/>
              </w:rPr>
            </w:pPr>
            <w:r w:rsidRPr="00CF0433">
              <w:rPr>
                <w:rFonts w:hint="eastAsia"/>
                <w:szCs w:val="21"/>
              </w:rPr>
              <w:t>法定代表人</w:t>
            </w:r>
          </w:p>
        </w:tc>
        <w:tc>
          <w:tcPr>
            <w:tcW w:w="2632" w:type="dxa"/>
            <w:shd w:val="clear" w:color="auto" w:fill="auto"/>
            <w:vAlign w:val="center"/>
          </w:tcPr>
          <w:p w:rsidR="00C904E1" w:rsidRPr="00CF0433" w:rsidRDefault="00C904E1" w:rsidP="007451E5">
            <w:pPr>
              <w:jc w:val="center"/>
              <w:rPr>
                <w:szCs w:val="21"/>
              </w:rPr>
            </w:pPr>
            <w:r w:rsidRPr="00CF0433">
              <w:rPr>
                <w:rFonts w:hint="eastAsia"/>
                <w:szCs w:val="21"/>
              </w:rPr>
              <w:t>翁志强</w:t>
            </w:r>
          </w:p>
        </w:tc>
      </w:tr>
      <w:tr w:rsidR="00C904E1" w:rsidRPr="00CF0433" w:rsidTr="00C904E1">
        <w:trPr>
          <w:trHeight w:val="549"/>
          <w:jc w:val="center"/>
        </w:trPr>
        <w:tc>
          <w:tcPr>
            <w:tcW w:w="1585" w:type="dxa"/>
            <w:shd w:val="clear" w:color="auto" w:fill="auto"/>
            <w:vAlign w:val="center"/>
          </w:tcPr>
          <w:p w:rsidR="00C904E1" w:rsidRPr="00CF0433" w:rsidRDefault="00C904E1" w:rsidP="007451E5">
            <w:pPr>
              <w:spacing w:line="360" w:lineRule="auto"/>
              <w:jc w:val="center"/>
              <w:rPr>
                <w:szCs w:val="21"/>
              </w:rPr>
            </w:pPr>
            <w:r w:rsidRPr="00CF0433">
              <w:rPr>
                <w:szCs w:val="21"/>
              </w:rPr>
              <w:t>企业负责人</w:t>
            </w:r>
          </w:p>
        </w:tc>
        <w:tc>
          <w:tcPr>
            <w:tcW w:w="3601" w:type="dxa"/>
            <w:gridSpan w:val="2"/>
            <w:shd w:val="clear" w:color="auto" w:fill="auto"/>
            <w:vAlign w:val="center"/>
          </w:tcPr>
          <w:p w:rsidR="00C904E1" w:rsidRPr="00CF0433" w:rsidRDefault="00C904E1" w:rsidP="007451E5">
            <w:pPr>
              <w:jc w:val="center"/>
              <w:rPr>
                <w:szCs w:val="21"/>
              </w:rPr>
            </w:pPr>
            <w:r w:rsidRPr="00CF0433">
              <w:rPr>
                <w:rFonts w:hint="eastAsia"/>
                <w:szCs w:val="21"/>
              </w:rPr>
              <w:t>李炳容</w:t>
            </w:r>
          </w:p>
        </w:tc>
        <w:tc>
          <w:tcPr>
            <w:tcW w:w="1308" w:type="dxa"/>
            <w:shd w:val="clear" w:color="auto" w:fill="auto"/>
            <w:vAlign w:val="center"/>
          </w:tcPr>
          <w:p w:rsidR="00C904E1" w:rsidRPr="00CF0433" w:rsidRDefault="00C904E1" w:rsidP="007451E5">
            <w:pPr>
              <w:snapToGrid w:val="0"/>
              <w:spacing w:line="240" w:lineRule="atLeast"/>
              <w:ind w:rightChars="-36" w:right="-76" w:firstLineChars="18" w:firstLine="38"/>
              <w:jc w:val="center"/>
              <w:rPr>
                <w:szCs w:val="21"/>
              </w:rPr>
            </w:pPr>
            <w:r w:rsidRPr="00CF0433">
              <w:rPr>
                <w:rFonts w:hint="eastAsia"/>
                <w:szCs w:val="21"/>
              </w:rPr>
              <w:t>管理者代表</w:t>
            </w:r>
          </w:p>
        </w:tc>
        <w:tc>
          <w:tcPr>
            <w:tcW w:w="2632" w:type="dxa"/>
            <w:shd w:val="clear" w:color="auto" w:fill="auto"/>
            <w:vAlign w:val="center"/>
          </w:tcPr>
          <w:p w:rsidR="00C904E1" w:rsidRPr="00CF0433" w:rsidRDefault="00C904E1" w:rsidP="007451E5">
            <w:pPr>
              <w:jc w:val="center"/>
              <w:rPr>
                <w:szCs w:val="21"/>
              </w:rPr>
            </w:pPr>
            <w:r w:rsidRPr="00CF0433">
              <w:rPr>
                <w:rFonts w:hint="eastAsia"/>
                <w:szCs w:val="21"/>
              </w:rPr>
              <w:t>姚建清</w:t>
            </w:r>
          </w:p>
        </w:tc>
      </w:tr>
      <w:tr w:rsidR="00C904E1" w:rsidRPr="00CF0433" w:rsidTr="00C904E1">
        <w:trPr>
          <w:trHeight w:val="533"/>
          <w:jc w:val="center"/>
        </w:trPr>
        <w:tc>
          <w:tcPr>
            <w:tcW w:w="1585" w:type="dxa"/>
            <w:shd w:val="clear" w:color="auto" w:fill="auto"/>
            <w:vAlign w:val="center"/>
          </w:tcPr>
          <w:p w:rsidR="00C904E1" w:rsidRPr="00CF0433" w:rsidRDefault="00C904E1" w:rsidP="007451E5">
            <w:pPr>
              <w:spacing w:line="360" w:lineRule="auto"/>
              <w:jc w:val="center"/>
              <w:rPr>
                <w:szCs w:val="21"/>
              </w:rPr>
            </w:pPr>
            <w:r w:rsidRPr="00CF0433">
              <w:rPr>
                <w:szCs w:val="21"/>
              </w:rPr>
              <w:t>注册地址</w:t>
            </w:r>
          </w:p>
        </w:tc>
        <w:tc>
          <w:tcPr>
            <w:tcW w:w="7541" w:type="dxa"/>
            <w:gridSpan w:val="4"/>
            <w:shd w:val="clear" w:color="auto" w:fill="auto"/>
            <w:vAlign w:val="center"/>
          </w:tcPr>
          <w:p w:rsidR="00C904E1" w:rsidRPr="00CF0433" w:rsidRDefault="00C904E1" w:rsidP="007451E5">
            <w:pPr>
              <w:jc w:val="center"/>
              <w:rPr>
                <w:bCs/>
                <w:szCs w:val="21"/>
              </w:rPr>
            </w:pPr>
            <w:r w:rsidRPr="00CF0433">
              <w:rPr>
                <w:rFonts w:hint="eastAsia"/>
                <w:bCs/>
                <w:szCs w:val="21"/>
              </w:rPr>
              <w:t>苏州市高新区锦峰南路</w:t>
            </w:r>
            <w:r w:rsidRPr="00CF0433">
              <w:rPr>
                <w:rFonts w:hint="eastAsia"/>
                <w:bCs/>
                <w:szCs w:val="21"/>
              </w:rPr>
              <w:t>108</w:t>
            </w:r>
            <w:r w:rsidRPr="00CF0433">
              <w:rPr>
                <w:rFonts w:hint="eastAsia"/>
                <w:bCs/>
                <w:szCs w:val="21"/>
              </w:rPr>
              <w:t>号</w:t>
            </w:r>
          </w:p>
        </w:tc>
      </w:tr>
      <w:tr w:rsidR="00C904E1" w:rsidRPr="00CF0433" w:rsidTr="00C904E1">
        <w:trPr>
          <w:trHeight w:val="578"/>
          <w:jc w:val="center"/>
        </w:trPr>
        <w:tc>
          <w:tcPr>
            <w:tcW w:w="1585" w:type="dxa"/>
            <w:shd w:val="clear" w:color="auto" w:fill="auto"/>
            <w:vAlign w:val="center"/>
          </w:tcPr>
          <w:p w:rsidR="00C904E1" w:rsidRPr="00CF0433" w:rsidRDefault="00C904E1" w:rsidP="007451E5">
            <w:pPr>
              <w:spacing w:line="360" w:lineRule="auto"/>
              <w:jc w:val="center"/>
              <w:rPr>
                <w:szCs w:val="21"/>
              </w:rPr>
            </w:pPr>
            <w:r w:rsidRPr="00CF0433">
              <w:rPr>
                <w:szCs w:val="21"/>
              </w:rPr>
              <w:t>生产地址</w:t>
            </w:r>
          </w:p>
        </w:tc>
        <w:tc>
          <w:tcPr>
            <w:tcW w:w="7541" w:type="dxa"/>
            <w:gridSpan w:val="4"/>
            <w:shd w:val="clear" w:color="auto" w:fill="auto"/>
            <w:vAlign w:val="center"/>
          </w:tcPr>
          <w:p w:rsidR="00C904E1" w:rsidRPr="00CF0433" w:rsidRDefault="00C904E1" w:rsidP="007451E5">
            <w:pPr>
              <w:jc w:val="center"/>
              <w:rPr>
                <w:szCs w:val="21"/>
              </w:rPr>
            </w:pPr>
            <w:r w:rsidRPr="00CF0433">
              <w:rPr>
                <w:rFonts w:hint="eastAsia"/>
                <w:bCs/>
                <w:szCs w:val="21"/>
              </w:rPr>
              <w:t>苏州市高新区锦峰南路</w:t>
            </w:r>
            <w:r w:rsidRPr="00CF0433">
              <w:rPr>
                <w:rFonts w:hint="eastAsia"/>
                <w:bCs/>
                <w:szCs w:val="21"/>
              </w:rPr>
              <w:t>108</w:t>
            </w:r>
            <w:r w:rsidRPr="00CF0433">
              <w:rPr>
                <w:rFonts w:hint="eastAsia"/>
                <w:bCs/>
                <w:szCs w:val="21"/>
              </w:rPr>
              <w:t>号</w:t>
            </w:r>
          </w:p>
        </w:tc>
      </w:tr>
      <w:tr w:rsidR="00C904E1" w:rsidRPr="00CF0433" w:rsidTr="00C904E1">
        <w:trPr>
          <w:trHeight w:val="416"/>
          <w:jc w:val="center"/>
        </w:trPr>
        <w:tc>
          <w:tcPr>
            <w:tcW w:w="1585" w:type="dxa"/>
            <w:shd w:val="clear" w:color="auto" w:fill="auto"/>
            <w:vAlign w:val="center"/>
          </w:tcPr>
          <w:p w:rsidR="00C904E1" w:rsidRPr="00CF0433" w:rsidRDefault="00C904E1" w:rsidP="007451E5">
            <w:pPr>
              <w:spacing w:line="360" w:lineRule="auto"/>
              <w:jc w:val="center"/>
              <w:rPr>
                <w:szCs w:val="21"/>
              </w:rPr>
            </w:pPr>
            <w:r w:rsidRPr="00CF0433">
              <w:rPr>
                <w:szCs w:val="21"/>
              </w:rPr>
              <w:t>检查日期</w:t>
            </w:r>
          </w:p>
        </w:tc>
        <w:tc>
          <w:tcPr>
            <w:tcW w:w="7541" w:type="dxa"/>
            <w:gridSpan w:val="4"/>
            <w:shd w:val="clear" w:color="auto" w:fill="auto"/>
            <w:vAlign w:val="center"/>
          </w:tcPr>
          <w:p w:rsidR="00C904E1" w:rsidRPr="00CF0433" w:rsidRDefault="00C904E1" w:rsidP="007451E5">
            <w:pPr>
              <w:jc w:val="center"/>
              <w:rPr>
                <w:szCs w:val="21"/>
              </w:rPr>
            </w:pPr>
            <w:r w:rsidRPr="00CF0433">
              <w:rPr>
                <w:szCs w:val="21"/>
              </w:rPr>
              <w:t>2017</w:t>
            </w:r>
            <w:r w:rsidRPr="00CF0433">
              <w:rPr>
                <w:szCs w:val="21"/>
              </w:rPr>
              <w:t>年</w:t>
            </w:r>
            <w:r w:rsidRPr="00CF0433">
              <w:rPr>
                <w:rFonts w:hint="eastAsia"/>
                <w:szCs w:val="21"/>
              </w:rPr>
              <w:t>05</w:t>
            </w:r>
            <w:r w:rsidRPr="00CF0433">
              <w:rPr>
                <w:szCs w:val="21"/>
              </w:rPr>
              <w:t>月</w:t>
            </w:r>
            <w:r w:rsidRPr="00CF0433">
              <w:rPr>
                <w:rFonts w:hint="eastAsia"/>
                <w:szCs w:val="21"/>
              </w:rPr>
              <w:t>24</w:t>
            </w:r>
            <w:r w:rsidRPr="00CF0433">
              <w:rPr>
                <w:szCs w:val="21"/>
              </w:rPr>
              <w:t>日</w:t>
            </w:r>
            <w:r w:rsidRPr="00CF0433">
              <w:rPr>
                <w:szCs w:val="21"/>
              </w:rPr>
              <w:t>—</w:t>
            </w:r>
            <w:r w:rsidRPr="00CF0433">
              <w:rPr>
                <w:rFonts w:hint="eastAsia"/>
                <w:szCs w:val="21"/>
              </w:rPr>
              <w:t>05</w:t>
            </w:r>
            <w:r w:rsidRPr="00CF0433">
              <w:rPr>
                <w:szCs w:val="21"/>
              </w:rPr>
              <w:t>月</w:t>
            </w:r>
            <w:r w:rsidRPr="00CF0433">
              <w:rPr>
                <w:rFonts w:hint="eastAsia"/>
                <w:szCs w:val="21"/>
              </w:rPr>
              <w:t>26</w:t>
            </w:r>
            <w:r w:rsidRPr="00CF0433">
              <w:rPr>
                <w:szCs w:val="21"/>
              </w:rPr>
              <w:t>日</w:t>
            </w:r>
          </w:p>
        </w:tc>
      </w:tr>
      <w:tr w:rsidR="00C904E1" w:rsidRPr="00CF0433" w:rsidTr="00C904E1">
        <w:trPr>
          <w:trHeight w:val="381"/>
          <w:jc w:val="center"/>
        </w:trPr>
        <w:tc>
          <w:tcPr>
            <w:tcW w:w="1585" w:type="dxa"/>
            <w:shd w:val="clear" w:color="auto" w:fill="auto"/>
            <w:vAlign w:val="center"/>
          </w:tcPr>
          <w:p w:rsidR="00C904E1" w:rsidRPr="00CF0433" w:rsidRDefault="00C904E1" w:rsidP="007451E5">
            <w:pPr>
              <w:spacing w:line="360" w:lineRule="auto"/>
              <w:jc w:val="center"/>
              <w:rPr>
                <w:szCs w:val="21"/>
              </w:rPr>
            </w:pPr>
            <w:r w:rsidRPr="00CF0433">
              <w:rPr>
                <w:szCs w:val="21"/>
              </w:rPr>
              <w:t>产品名称</w:t>
            </w:r>
          </w:p>
        </w:tc>
        <w:tc>
          <w:tcPr>
            <w:tcW w:w="7541" w:type="dxa"/>
            <w:gridSpan w:val="4"/>
            <w:shd w:val="clear" w:color="auto" w:fill="auto"/>
            <w:vAlign w:val="center"/>
          </w:tcPr>
          <w:p w:rsidR="00C904E1" w:rsidRPr="00CF0433" w:rsidRDefault="00C904E1" w:rsidP="007451E5">
            <w:pPr>
              <w:jc w:val="center"/>
              <w:rPr>
                <w:szCs w:val="21"/>
              </w:rPr>
            </w:pPr>
            <w:r w:rsidRPr="00CF0433">
              <w:rPr>
                <w:rFonts w:hint="eastAsia"/>
                <w:szCs w:val="21"/>
              </w:rPr>
              <w:t>一次性使用自锁型直线切割吻（缝）合器及组件</w:t>
            </w:r>
          </w:p>
        </w:tc>
      </w:tr>
      <w:tr w:rsidR="00C904E1" w:rsidRPr="00CF0433" w:rsidTr="00C904E1">
        <w:trPr>
          <w:trHeight w:val="459"/>
          <w:jc w:val="center"/>
        </w:trPr>
        <w:tc>
          <w:tcPr>
            <w:tcW w:w="1585" w:type="dxa"/>
            <w:shd w:val="clear" w:color="auto" w:fill="auto"/>
            <w:vAlign w:val="center"/>
          </w:tcPr>
          <w:p w:rsidR="00C904E1" w:rsidRPr="00CF0433" w:rsidRDefault="00C904E1" w:rsidP="007451E5">
            <w:pPr>
              <w:spacing w:line="360" w:lineRule="auto"/>
              <w:jc w:val="center"/>
              <w:rPr>
                <w:szCs w:val="21"/>
              </w:rPr>
            </w:pPr>
            <w:r w:rsidRPr="00CF0433">
              <w:rPr>
                <w:szCs w:val="21"/>
              </w:rPr>
              <w:t>检查目的</w:t>
            </w:r>
          </w:p>
        </w:tc>
        <w:tc>
          <w:tcPr>
            <w:tcW w:w="7541" w:type="dxa"/>
            <w:gridSpan w:val="4"/>
            <w:shd w:val="clear" w:color="auto" w:fill="auto"/>
            <w:vAlign w:val="center"/>
          </w:tcPr>
          <w:p w:rsidR="00C904E1" w:rsidRPr="00CF0433" w:rsidRDefault="00C904E1" w:rsidP="007451E5">
            <w:pPr>
              <w:spacing w:line="360" w:lineRule="auto"/>
              <w:jc w:val="center"/>
              <w:rPr>
                <w:kern w:val="0"/>
                <w:szCs w:val="21"/>
              </w:rPr>
            </w:pPr>
            <w:r w:rsidRPr="00CF0433">
              <w:rPr>
                <w:rFonts w:hint="eastAsia"/>
                <w:kern w:val="0"/>
                <w:szCs w:val="21"/>
              </w:rPr>
              <w:t>合规</w:t>
            </w:r>
            <w:r w:rsidRPr="00CF0433">
              <w:rPr>
                <w:kern w:val="0"/>
                <w:szCs w:val="21"/>
              </w:rPr>
              <w:t>检查</w:t>
            </w:r>
          </w:p>
        </w:tc>
      </w:tr>
      <w:tr w:rsidR="00C904E1" w:rsidRPr="00CF0433" w:rsidTr="00C904E1">
        <w:trPr>
          <w:trHeight w:val="409"/>
          <w:jc w:val="center"/>
        </w:trPr>
        <w:tc>
          <w:tcPr>
            <w:tcW w:w="1585" w:type="dxa"/>
            <w:shd w:val="clear" w:color="auto" w:fill="auto"/>
            <w:vAlign w:val="center"/>
          </w:tcPr>
          <w:p w:rsidR="00C904E1" w:rsidRPr="00CF0433" w:rsidRDefault="00C904E1" w:rsidP="007451E5">
            <w:pPr>
              <w:spacing w:line="360" w:lineRule="auto"/>
              <w:jc w:val="center"/>
              <w:rPr>
                <w:szCs w:val="21"/>
              </w:rPr>
            </w:pPr>
            <w:r w:rsidRPr="00CF0433">
              <w:rPr>
                <w:szCs w:val="21"/>
              </w:rPr>
              <w:t>检查依据</w:t>
            </w:r>
          </w:p>
        </w:tc>
        <w:tc>
          <w:tcPr>
            <w:tcW w:w="7541" w:type="dxa"/>
            <w:gridSpan w:val="4"/>
            <w:shd w:val="clear" w:color="auto" w:fill="auto"/>
            <w:vAlign w:val="center"/>
          </w:tcPr>
          <w:p w:rsidR="00C904E1" w:rsidRPr="00CF0433" w:rsidRDefault="00C904E1" w:rsidP="007451E5">
            <w:pPr>
              <w:spacing w:line="360" w:lineRule="auto"/>
              <w:jc w:val="center"/>
              <w:rPr>
                <w:bCs/>
                <w:kern w:val="0"/>
                <w:szCs w:val="21"/>
              </w:rPr>
            </w:pPr>
            <w:r w:rsidRPr="00CF0433">
              <w:rPr>
                <w:bCs/>
                <w:kern w:val="0"/>
                <w:szCs w:val="21"/>
              </w:rPr>
              <w:t>《医疗器械生产质量管理规范》《医疗器械生产质量管理规范附录无菌医疗器械》</w:t>
            </w:r>
          </w:p>
        </w:tc>
      </w:tr>
      <w:tr w:rsidR="00C904E1" w:rsidRPr="00CF0433" w:rsidTr="00C904E1">
        <w:trPr>
          <w:trHeight w:val="906"/>
          <w:jc w:val="center"/>
        </w:trPr>
        <w:tc>
          <w:tcPr>
            <w:tcW w:w="9126" w:type="dxa"/>
            <w:gridSpan w:val="5"/>
            <w:shd w:val="clear" w:color="auto" w:fill="auto"/>
            <w:vAlign w:val="center"/>
          </w:tcPr>
          <w:p w:rsidR="00C904E1" w:rsidRPr="00CF0433" w:rsidRDefault="00C904E1" w:rsidP="007451E5">
            <w:pPr>
              <w:spacing w:line="360" w:lineRule="auto"/>
              <w:jc w:val="center"/>
              <w:rPr>
                <w:b/>
                <w:bCs/>
                <w:szCs w:val="21"/>
              </w:rPr>
            </w:pPr>
            <w:r w:rsidRPr="00CF0433">
              <w:rPr>
                <w:b/>
                <w:bCs/>
                <w:szCs w:val="21"/>
              </w:rPr>
              <w:t>主要缺陷和问题及其判定依据</w:t>
            </w:r>
          </w:p>
          <w:p w:rsidR="00C904E1" w:rsidRPr="00CF0433" w:rsidRDefault="00C904E1" w:rsidP="007451E5">
            <w:pPr>
              <w:spacing w:line="360" w:lineRule="auto"/>
              <w:jc w:val="left"/>
              <w:rPr>
                <w:szCs w:val="21"/>
              </w:rPr>
            </w:pPr>
            <w:r w:rsidRPr="00CF0433">
              <w:rPr>
                <w:szCs w:val="21"/>
              </w:rPr>
              <w:t>本表中所列出的缺陷和问题，只是本次飞行检查的发现，不代表企业缺陷和问题的全部。建立与本企业生产产品特点相适应的质量管理体系并保持其有效运行，是医疗器械生产企业的法定责任。</w:t>
            </w:r>
          </w:p>
        </w:tc>
      </w:tr>
      <w:tr w:rsidR="00C904E1" w:rsidRPr="00CF0433" w:rsidTr="00C904E1">
        <w:trPr>
          <w:trHeight w:val="513"/>
          <w:jc w:val="center"/>
        </w:trPr>
        <w:tc>
          <w:tcPr>
            <w:tcW w:w="1693" w:type="dxa"/>
            <w:gridSpan w:val="2"/>
            <w:tcBorders>
              <w:bottom w:val="single" w:sz="4" w:space="0" w:color="auto"/>
            </w:tcBorders>
            <w:shd w:val="clear" w:color="auto" w:fill="auto"/>
            <w:vAlign w:val="center"/>
          </w:tcPr>
          <w:p w:rsidR="00C904E1" w:rsidRPr="00CF0433" w:rsidRDefault="00C904E1" w:rsidP="007451E5">
            <w:pPr>
              <w:spacing w:line="360" w:lineRule="auto"/>
              <w:jc w:val="center"/>
              <w:rPr>
                <w:szCs w:val="21"/>
              </w:rPr>
            </w:pPr>
            <w:r w:rsidRPr="00CF0433">
              <w:rPr>
                <w:b/>
                <w:bCs/>
                <w:szCs w:val="21"/>
              </w:rPr>
              <w:t>依据条款</w:t>
            </w:r>
          </w:p>
        </w:tc>
        <w:tc>
          <w:tcPr>
            <w:tcW w:w="7433" w:type="dxa"/>
            <w:gridSpan w:val="3"/>
            <w:tcBorders>
              <w:bottom w:val="single" w:sz="4" w:space="0" w:color="auto"/>
            </w:tcBorders>
            <w:shd w:val="clear" w:color="auto" w:fill="auto"/>
            <w:vAlign w:val="center"/>
          </w:tcPr>
          <w:p w:rsidR="00C904E1" w:rsidRPr="00CF0433" w:rsidRDefault="00C904E1" w:rsidP="007451E5">
            <w:pPr>
              <w:spacing w:line="360" w:lineRule="auto"/>
              <w:jc w:val="center"/>
              <w:rPr>
                <w:szCs w:val="21"/>
              </w:rPr>
            </w:pPr>
            <w:r w:rsidRPr="00CF0433">
              <w:rPr>
                <w:szCs w:val="21"/>
              </w:rPr>
              <w:t>缺陷和问题描述</w:t>
            </w:r>
          </w:p>
        </w:tc>
      </w:tr>
      <w:tr w:rsidR="00C904E1" w:rsidRPr="00CF0433" w:rsidTr="00C904E1">
        <w:trPr>
          <w:trHeight w:val="335"/>
          <w:jc w:val="center"/>
        </w:trPr>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C904E1" w:rsidRPr="00CF0433" w:rsidRDefault="00C904E1" w:rsidP="007451E5">
            <w:pPr>
              <w:spacing w:line="360" w:lineRule="auto"/>
              <w:rPr>
                <w:szCs w:val="21"/>
              </w:rPr>
            </w:pPr>
          </w:p>
        </w:tc>
        <w:tc>
          <w:tcPr>
            <w:tcW w:w="7433" w:type="dxa"/>
            <w:gridSpan w:val="3"/>
            <w:tcBorders>
              <w:top w:val="single" w:sz="4" w:space="0" w:color="auto"/>
              <w:left w:val="single" w:sz="4" w:space="0" w:color="auto"/>
              <w:bottom w:val="single" w:sz="4" w:space="0" w:color="auto"/>
              <w:right w:val="single" w:sz="4" w:space="0" w:color="auto"/>
            </w:tcBorders>
            <w:shd w:val="clear" w:color="auto" w:fill="auto"/>
          </w:tcPr>
          <w:p w:rsidR="00C904E1" w:rsidRPr="00CF0433" w:rsidRDefault="00C904E1" w:rsidP="007451E5">
            <w:pPr>
              <w:spacing w:line="360" w:lineRule="auto"/>
              <w:rPr>
                <w:szCs w:val="21"/>
              </w:rPr>
            </w:pPr>
            <w:r w:rsidRPr="00CF0433">
              <w:rPr>
                <w:rFonts w:hint="eastAsia"/>
                <w:szCs w:val="21"/>
              </w:rPr>
              <w:t>现场检查发现</w:t>
            </w:r>
            <w:r w:rsidRPr="00CF0433">
              <w:rPr>
                <w:rFonts w:hint="eastAsia"/>
                <w:szCs w:val="21"/>
              </w:rPr>
              <w:t>16</w:t>
            </w:r>
            <w:r w:rsidRPr="00CF0433">
              <w:rPr>
                <w:rFonts w:hint="eastAsia"/>
                <w:szCs w:val="21"/>
              </w:rPr>
              <w:t>项一般缺陷：</w:t>
            </w:r>
          </w:p>
        </w:tc>
      </w:tr>
      <w:tr w:rsidR="00C904E1" w:rsidRPr="00CF0433" w:rsidTr="00C904E1">
        <w:trPr>
          <w:trHeight w:val="335"/>
          <w:jc w:val="center"/>
        </w:trPr>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C904E1" w:rsidRPr="00CF0433" w:rsidRDefault="00C904E1" w:rsidP="007451E5">
            <w:pPr>
              <w:spacing w:line="360" w:lineRule="auto"/>
              <w:rPr>
                <w:szCs w:val="21"/>
              </w:rPr>
            </w:pPr>
            <w:r w:rsidRPr="00CF0433">
              <w:rPr>
                <w:szCs w:val="21"/>
              </w:rPr>
              <w:t>规范第</w:t>
            </w:r>
            <w:r w:rsidRPr="00CF0433">
              <w:rPr>
                <w:rFonts w:hint="eastAsia"/>
                <w:szCs w:val="21"/>
              </w:rPr>
              <w:t>五</w:t>
            </w:r>
            <w:r w:rsidRPr="00CF0433">
              <w:rPr>
                <w:szCs w:val="21"/>
              </w:rPr>
              <w:t>条</w:t>
            </w:r>
          </w:p>
        </w:tc>
        <w:tc>
          <w:tcPr>
            <w:tcW w:w="7433" w:type="dxa"/>
            <w:gridSpan w:val="3"/>
            <w:tcBorders>
              <w:top w:val="single" w:sz="4" w:space="0" w:color="auto"/>
              <w:left w:val="single" w:sz="4" w:space="0" w:color="auto"/>
              <w:bottom w:val="single" w:sz="4" w:space="0" w:color="auto"/>
              <w:right w:val="single" w:sz="4" w:space="0" w:color="auto"/>
            </w:tcBorders>
            <w:shd w:val="clear" w:color="auto" w:fill="auto"/>
          </w:tcPr>
          <w:p w:rsidR="00C904E1" w:rsidRPr="00CF0433" w:rsidRDefault="00C904E1" w:rsidP="007451E5">
            <w:pPr>
              <w:spacing w:line="360" w:lineRule="auto"/>
              <w:rPr>
                <w:szCs w:val="21"/>
                <w:highlight w:val="yellow"/>
              </w:rPr>
            </w:pPr>
            <w:r w:rsidRPr="00CF0433">
              <w:rPr>
                <w:szCs w:val="21"/>
              </w:rPr>
              <w:t>企业质量手册的组织机构图和质量管理体系机构图中均无管理者代表的标识</w:t>
            </w:r>
            <w:r w:rsidRPr="00CF0433">
              <w:rPr>
                <w:rFonts w:hint="eastAsia"/>
                <w:szCs w:val="21"/>
              </w:rPr>
              <w:t>。</w:t>
            </w:r>
          </w:p>
        </w:tc>
      </w:tr>
      <w:tr w:rsidR="00C904E1" w:rsidRPr="00CF0433" w:rsidTr="00C904E1">
        <w:trPr>
          <w:trHeight w:val="333"/>
          <w:jc w:val="center"/>
        </w:trPr>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C904E1" w:rsidRPr="00CF0433" w:rsidRDefault="00C904E1" w:rsidP="007451E5">
            <w:pPr>
              <w:spacing w:line="360" w:lineRule="auto"/>
              <w:rPr>
                <w:szCs w:val="21"/>
              </w:rPr>
            </w:pPr>
            <w:r w:rsidRPr="00CF0433">
              <w:rPr>
                <w:szCs w:val="21"/>
              </w:rPr>
              <w:t>规范第</w:t>
            </w:r>
            <w:r w:rsidRPr="00CF0433">
              <w:rPr>
                <w:rFonts w:hint="eastAsia"/>
                <w:szCs w:val="21"/>
              </w:rPr>
              <w:t>二十</w:t>
            </w:r>
            <w:r w:rsidRPr="00CF0433">
              <w:rPr>
                <w:szCs w:val="21"/>
              </w:rPr>
              <w:t>条</w:t>
            </w:r>
          </w:p>
        </w:tc>
        <w:tc>
          <w:tcPr>
            <w:tcW w:w="7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04E1" w:rsidRPr="00CF0433" w:rsidRDefault="00C904E1" w:rsidP="007451E5">
            <w:pPr>
              <w:spacing w:line="360" w:lineRule="auto"/>
              <w:jc w:val="left"/>
              <w:rPr>
                <w:szCs w:val="21"/>
              </w:rPr>
            </w:pPr>
            <w:r w:rsidRPr="00CF0433">
              <w:rPr>
                <w:szCs w:val="21"/>
              </w:rPr>
              <w:t>企业原料库中配置有除湿机，但没有操作记录。</w:t>
            </w:r>
          </w:p>
        </w:tc>
      </w:tr>
      <w:tr w:rsidR="00C904E1" w:rsidRPr="00CF0433" w:rsidTr="00C904E1">
        <w:trPr>
          <w:trHeight w:val="333"/>
          <w:jc w:val="center"/>
        </w:trPr>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C904E1" w:rsidRPr="00CF0433" w:rsidRDefault="00C904E1" w:rsidP="007451E5">
            <w:pPr>
              <w:spacing w:line="360" w:lineRule="auto"/>
              <w:rPr>
                <w:szCs w:val="21"/>
              </w:rPr>
            </w:pPr>
            <w:r w:rsidRPr="00CF0433">
              <w:rPr>
                <w:szCs w:val="21"/>
              </w:rPr>
              <w:t>规范第</w:t>
            </w:r>
            <w:r w:rsidRPr="00CF0433">
              <w:rPr>
                <w:rFonts w:hint="eastAsia"/>
                <w:szCs w:val="21"/>
              </w:rPr>
              <w:t>二十三</w:t>
            </w:r>
            <w:r w:rsidRPr="00CF0433">
              <w:rPr>
                <w:szCs w:val="21"/>
              </w:rPr>
              <w:t>条</w:t>
            </w:r>
          </w:p>
        </w:tc>
        <w:tc>
          <w:tcPr>
            <w:tcW w:w="7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04E1" w:rsidRPr="00CF0433" w:rsidRDefault="00C904E1" w:rsidP="007451E5">
            <w:pPr>
              <w:spacing w:line="360" w:lineRule="auto"/>
              <w:jc w:val="left"/>
              <w:rPr>
                <w:szCs w:val="21"/>
              </w:rPr>
            </w:pPr>
            <w:r w:rsidRPr="00CF0433">
              <w:rPr>
                <w:szCs w:val="21"/>
              </w:rPr>
              <w:t>原材料检验室中一台硬度计上，检定标识显示已过有效期，质量管理人员确认还未送检。注塑车间里压缩空气设备上压力表未进行校准。</w:t>
            </w:r>
          </w:p>
        </w:tc>
      </w:tr>
      <w:tr w:rsidR="00C904E1" w:rsidRPr="00CF0433" w:rsidTr="00C904E1">
        <w:trPr>
          <w:trHeight w:val="333"/>
          <w:jc w:val="center"/>
        </w:trPr>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C904E1" w:rsidRPr="00CF0433" w:rsidRDefault="00C904E1" w:rsidP="007451E5">
            <w:pPr>
              <w:spacing w:line="360" w:lineRule="auto"/>
              <w:rPr>
                <w:szCs w:val="21"/>
              </w:rPr>
            </w:pPr>
            <w:r w:rsidRPr="00CF0433">
              <w:rPr>
                <w:szCs w:val="21"/>
              </w:rPr>
              <w:t>规范第</w:t>
            </w:r>
            <w:r w:rsidRPr="00CF0433">
              <w:rPr>
                <w:rFonts w:hint="eastAsia"/>
                <w:szCs w:val="21"/>
              </w:rPr>
              <w:t>三十</w:t>
            </w:r>
            <w:r w:rsidRPr="00CF0433">
              <w:rPr>
                <w:szCs w:val="21"/>
              </w:rPr>
              <w:t>条</w:t>
            </w:r>
          </w:p>
        </w:tc>
        <w:tc>
          <w:tcPr>
            <w:tcW w:w="7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04E1" w:rsidRPr="00CF0433" w:rsidRDefault="00C904E1" w:rsidP="007451E5">
            <w:pPr>
              <w:adjustRightInd w:val="0"/>
              <w:snapToGrid w:val="0"/>
              <w:spacing w:line="300" w:lineRule="atLeast"/>
              <w:rPr>
                <w:szCs w:val="21"/>
              </w:rPr>
            </w:pPr>
            <w:r w:rsidRPr="00CF0433">
              <w:rPr>
                <w:szCs w:val="21"/>
              </w:rPr>
              <w:t>设计开发输入应包括强制性国家标准《</w:t>
            </w:r>
            <w:r w:rsidRPr="00CF0433">
              <w:rPr>
                <w:szCs w:val="21"/>
              </w:rPr>
              <w:t>YY0876-2013</w:t>
            </w:r>
            <w:r w:rsidRPr="00CF0433">
              <w:rPr>
                <w:szCs w:val="21"/>
              </w:rPr>
              <w:t>直线切割型吻合器及组件》的要求</w:t>
            </w:r>
          </w:p>
        </w:tc>
      </w:tr>
      <w:tr w:rsidR="00C904E1" w:rsidRPr="00CF0433" w:rsidTr="00C904E1">
        <w:trPr>
          <w:trHeight w:val="333"/>
          <w:jc w:val="center"/>
        </w:trPr>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C904E1" w:rsidRPr="00CF0433" w:rsidRDefault="00C904E1" w:rsidP="007451E5">
            <w:pPr>
              <w:spacing w:line="360" w:lineRule="auto"/>
              <w:rPr>
                <w:szCs w:val="21"/>
              </w:rPr>
            </w:pPr>
            <w:r w:rsidRPr="00CF0433">
              <w:rPr>
                <w:szCs w:val="21"/>
              </w:rPr>
              <w:t>规范第</w:t>
            </w:r>
            <w:r w:rsidRPr="00CF0433">
              <w:rPr>
                <w:rFonts w:hint="eastAsia"/>
                <w:szCs w:val="21"/>
              </w:rPr>
              <w:t>四十一</w:t>
            </w:r>
            <w:r w:rsidRPr="00CF0433">
              <w:rPr>
                <w:szCs w:val="21"/>
              </w:rPr>
              <w:t>条</w:t>
            </w:r>
          </w:p>
        </w:tc>
        <w:tc>
          <w:tcPr>
            <w:tcW w:w="7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04E1" w:rsidRPr="00CF0433" w:rsidRDefault="00C904E1" w:rsidP="007451E5">
            <w:pPr>
              <w:adjustRightInd w:val="0"/>
              <w:snapToGrid w:val="0"/>
              <w:spacing w:line="300" w:lineRule="atLeast"/>
              <w:rPr>
                <w:szCs w:val="21"/>
              </w:rPr>
            </w:pPr>
            <w:r w:rsidRPr="00CF0433">
              <w:rPr>
                <w:szCs w:val="21"/>
              </w:rPr>
              <w:t>该公司供应商审核制度规定对供方进行定期（年度）评价，对供方资质文件定期确认。经抽查，钛丝供应商</w:t>
            </w:r>
            <w:r w:rsidRPr="00CF0433">
              <w:rPr>
                <w:szCs w:val="21"/>
              </w:rPr>
              <w:t>ISO9000</w:t>
            </w:r>
            <w:r w:rsidRPr="00CF0433">
              <w:rPr>
                <w:szCs w:val="21"/>
              </w:rPr>
              <w:t>证书过期，透析纸供应商洁净室检测报告为</w:t>
            </w:r>
            <w:r w:rsidRPr="00CF0433">
              <w:rPr>
                <w:szCs w:val="21"/>
              </w:rPr>
              <w:t>2015</w:t>
            </w:r>
            <w:r w:rsidRPr="00CF0433">
              <w:rPr>
                <w:szCs w:val="21"/>
              </w:rPr>
              <w:t>年度。</w:t>
            </w:r>
          </w:p>
        </w:tc>
      </w:tr>
      <w:tr w:rsidR="00C904E1" w:rsidRPr="00CF0433" w:rsidTr="00C904E1">
        <w:trPr>
          <w:trHeight w:val="333"/>
          <w:jc w:val="center"/>
        </w:trPr>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C904E1" w:rsidRPr="00CF0433" w:rsidRDefault="00C904E1" w:rsidP="007451E5">
            <w:pPr>
              <w:spacing w:line="360" w:lineRule="auto"/>
              <w:rPr>
                <w:szCs w:val="21"/>
              </w:rPr>
            </w:pPr>
            <w:r w:rsidRPr="00CF0433">
              <w:rPr>
                <w:szCs w:val="21"/>
              </w:rPr>
              <w:t>规范第</w:t>
            </w:r>
            <w:r w:rsidRPr="00CF0433">
              <w:rPr>
                <w:rFonts w:hint="eastAsia"/>
                <w:szCs w:val="21"/>
              </w:rPr>
              <w:t>四十三</w:t>
            </w:r>
            <w:r w:rsidRPr="00CF0433">
              <w:rPr>
                <w:szCs w:val="21"/>
              </w:rPr>
              <w:t>条</w:t>
            </w:r>
          </w:p>
        </w:tc>
        <w:tc>
          <w:tcPr>
            <w:tcW w:w="7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04E1" w:rsidRPr="00CF0433" w:rsidRDefault="00C904E1" w:rsidP="007451E5">
            <w:pPr>
              <w:adjustRightInd w:val="0"/>
              <w:snapToGrid w:val="0"/>
              <w:spacing w:line="300" w:lineRule="atLeast"/>
              <w:rPr>
                <w:szCs w:val="21"/>
              </w:rPr>
            </w:pPr>
            <w:r w:rsidRPr="00CF0433">
              <w:rPr>
                <w:szCs w:val="21"/>
              </w:rPr>
              <w:t>外购原材料钛丝的质量协议中提及质量标准见（附件一），未能提供该附件。</w:t>
            </w:r>
          </w:p>
        </w:tc>
      </w:tr>
      <w:tr w:rsidR="00C904E1" w:rsidRPr="00CF0433" w:rsidTr="00C904E1">
        <w:trPr>
          <w:trHeight w:val="878"/>
          <w:jc w:val="center"/>
        </w:trPr>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C904E1" w:rsidRPr="00CF0433" w:rsidRDefault="00C904E1" w:rsidP="007451E5">
            <w:pPr>
              <w:spacing w:line="360" w:lineRule="auto"/>
              <w:rPr>
                <w:szCs w:val="21"/>
              </w:rPr>
            </w:pPr>
            <w:r w:rsidRPr="00CF0433">
              <w:lastRenderedPageBreak/>
              <w:br w:type="page"/>
            </w:r>
            <w:r w:rsidRPr="00CF0433">
              <w:rPr>
                <w:rFonts w:hint="eastAsia"/>
                <w:szCs w:val="21"/>
              </w:rPr>
              <w:t>附录</w:t>
            </w:r>
            <w:r w:rsidRPr="00CF0433">
              <w:rPr>
                <w:rFonts w:hint="eastAsia"/>
                <w:szCs w:val="21"/>
              </w:rPr>
              <w:t>2.1.4</w:t>
            </w:r>
          </w:p>
        </w:tc>
        <w:tc>
          <w:tcPr>
            <w:tcW w:w="7433" w:type="dxa"/>
            <w:gridSpan w:val="3"/>
            <w:tcBorders>
              <w:top w:val="single" w:sz="4" w:space="0" w:color="auto"/>
              <w:left w:val="single" w:sz="4" w:space="0" w:color="auto"/>
              <w:bottom w:val="single" w:sz="4" w:space="0" w:color="auto"/>
              <w:right w:val="single" w:sz="4" w:space="0" w:color="auto"/>
            </w:tcBorders>
            <w:shd w:val="clear" w:color="auto" w:fill="auto"/>
          </w:tcPr>
          <w:p w:rsidR="00C904E1" w:rsidRPr="00CF0433" w:rsidRDefault="00C904E1" w:rsidP="007451E5">
            <w:pPr>
              <w:spacing w:line="360" w:lineRule="auto"/>
              <w:rPr>
                <w:szCs w:val="21"/>
              </w:rPr>
            </w:pPr>
            <w:r w:rsidRPr="00CF0433">
              <w:rPr>
                <w:szCs w:val="21"/>
              </w:rPr>
              <w:t>衣服清洗、消毒管理规定（</w:t>
            </w:r>
            <w:r w:rsidRPr="00CF0433">
              <w:rPr>
                <w:szCs w:val="21"/>
              </w:rPr>
              <w:t>FRKM/QG6.4-04 B/0</w:t>
            </w:r>
            <w:r w:rsidRPr="00CF0433">
              <w:rPr>
                <w:szCs w:val="21"/>
              </w:rPr>
              <w:t>）中未制定无菌工作服的清洗、整理和灭菌后的贮存要求</w:t>
            </w:r>
            <w:r w:rsidRPr="00CF0433">
              <w:rPr>
                <w:rFonts w:hint="eastAsia"/>
                <w:szCs w:val="21"/>
              </w:rPr>
              <w:t>。</w:t>
            </w:r>
          </w:p>
        </w:tc>
      </w:tr>
      <w:tr w:rsidR="00C904E1" w:rsidRPr="00CF0433" w:rsidTr="00C904E1">
        <w:trPr>
          <w:trHeight w:val="333"/>
          <w:jc w:val="center"/>
        </w:trPr>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C904E1" w:rsidRPr="00CF0433" w:rsidRDefault="00C904E1" w:rsidP="007451E5">
            <w:pPr>
              <w:spacing w:line="360" w:lineRule="auto"/>
              <w:rPr>
                <w:szCs w:val="21"/>
              </w:rPr>
            </w:pPr>
            <w:r w:rsidRPr="00CF0433">
              <w:rPr>
                <w:rFonts w:hint="eastAsia"/>
                <w:szCs w:val="21"/>
              </w:rPr>
              <w:t>附录</w:t>
            </w:r>
            <w:r w:rsidRPr="00CF0433">
              <w:rPr>
                <w:rFonts w:hint="eastAsia"/>
                <w:szCs w:val="21"/>
              </w:rPr>
              <w:t>2.2.2</w:t>
            </w:r>
          </w:p>
        </w:tc>
        <w:tc>
          <w:tcPr>
            <w:tcW w:w="7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04E1" w:rsidRPr="00CF0433" w:rsidRDefault="00C904E1" w:rsidP="007451E5">
            <w:pPr>
              <w:snapToGrid w:val="0"/>
              <w:spacing w:line="300" w:lineRule="atLeast"/>
              <w:jc w:val="left"/>
              <w:rPr>
                <w:szCs w:val="21"/>
              </w:rPr>
            </w:pPr>
            <w:r w:rsidRPr="00CF0433">
              <w:rPr>
                <w:szCs w:val="21"/>
              </w:rPr>
              <w:t>企业产品内包装间和外包装间的双层传递窗旁压差计指示压差为负压。</w:t>
            </w:r>
          </w:p>
        </w:tc>
      </w:tr>
      <w:tr w:rsidR="00C904E1" w:rsidRPr="00CF0433" w:rsidTr="00C904E1">
        <w:trPr>
          <w:trHeight w:val="333"/>
          <w:jc w:val="center"/>
        </w:trPr>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C904E1" w:rsidRPr="00CF0433" w:rsidRDefault="00C904E1" w:rsidP="007451E5">
            <w:pPr>
              <w:spacing w:line="360" w:lineRule="auto"/>
              <w:rPr>
                <w:szCs w:val="21"/>
              </w:rPr>
            </w:pPr>
            <w:r w:rsidRPr="00CF0433">
              <w:rPr>
                <w:rFonts w:hint="eastAsia"/>
                <w:szCs w:val="21"/>
              </w:rPr>
              <w:t>附录</w:t>
            </w:r>
            <w:r w:rsidRPr="00CF0433">
              <w:rPr>
                <w:rFonts w:hint="eastAsia"/>
                <w:szCs w:val="21"/>
              </w:rPr>
              <w:t>2.2.11</w:t>
            </w:r>
          </w:p>
        </w:tc>
        <w:tc>
          <w:tcPr>
            <w:tcW w:w="7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04E1" w:rsidRPr="00CF0433" w:rsidRDefault="00C904E1" w:rsidP="007451E5">
            <w:pPr>
              <w:spacing w:line="360" w:lineRule="auto"/>
              <w:rPr>
                <w:szCs w:val="21"/>
              </w:rPr>
            </w:pPr>
            <w:r w:rsidRPr="00CF0433">
              <w:rPr>
                <w:rFonts w:hint="eastAsia"/>
                <w:szCs w:val="21"/>
              </w:rPr>
              <w:t>5</w:t>
            </w:r>
            <w:r w:rsidRPr="00CF0433">
              <w:rPr>
                <w:rFonts w:hint="eastAsia"/>
                <w:szCs w:val="21"/>
              </w:rPr>
              <w:t>月</w:t>
            </w:r>
            <w:r w:rsidRPr="00CF0433">
              <w:rPr>
                <w:szCs w:val="21"/>
              </w:rPr>
              <w:t>24</w:t>
            </w:r>
            <w:r w:rsidRPr="00CF0433">
              <w:rPr>
                <w:szCs w:val="21"/>
              </w:rPr>
              <w:t>日下午企业空调系统控制主机上显示洁净厂房回风口相对湿度为</w:t>
            </w:r>
            <w:r w:rsidRPr="00CF0433">
              <w:rPr>
                <w:szCs w:val="21"/>
              </w:rPr>
              <w:t>65.9%</w:t>
            </w:r>
            <w:r w:rsidRPr="00CF0433">
              <w:rPr>
                <w:szCs w:val="21"/>
              </w:rPr>
              <w:t>，</w:t>
            </w:r>
            <w:r w:rsidRPr="00CF0433">
              <w:rPr>
                <w:rFonts w:hint="eastAsia"/>
                <w:szCs w:val="21"/>
              </w:rPr>
              <w:t>5</w:t>
            </w:r>
            <w:r w:rsidRPr="00CF0433">
              <w:rPr>
                <w:rFonts w:hint="eastAsia"/>
                <w:szCs w:val="21"/>
              </w:rPr>
              <w:t>月</w:t>
            </w:r>
            <w:r w:rsidRPr="00CF0433">
              <w:rPr>
                <w:szCs w:val="21"/>
              </w:rPr>
              <w:t>25</w:t>
            </w:r>
            <w:r w:rsidRPr="00CF0433">
              <w:rPr>
                <w:szCs w:val="21"/>
              </w:rPr>
              <w:t>日上午查看在洁净厂房内中转品库的温湿度记录本，没有</w:t>
            </w:r>
            <w:r w:rsidRPr="00CF0433">
              <w:rPr>
                <w:szCs w:val="21"/>
              </w:rPr>
              <w:t>24</w:t>
            </w:r>
            <w:r w:rsidRPr="00CF0433">
              <w:rPr>
                <w:szCs w:val="21"/>
              </w:rPr>
              <w:t>日的记录。</w:t>
            </w:r>
          </w:p>
        </w:tc>
      </w:tr>
      <w:tr w:rsidR="00C904E1" w:rsidRPr="00CF0433" w:rsidTr="00C904E1">
        <w:trPr>
          <w:trHeight w:val="333"/>
          <w:jc w:val="center"/>
        </w:trPr>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C904E1" w:rsidRPr="00CF0433" w:rsidRDefault="00C904E1" w:rsidP="007451E5">
            <w:pPr>
              <w:spacing w:line="360" w:lineRule="auto"/>
              <w:rPr>
                <w:szCs w:val="21"/>
              </w:rPr>
            </w:pPr>
            <w:r w:rsidRPr="00CF0433">
              <w:rPr>
                <w:rFonts w:hint="eastAsia"/>
                <w:szCs w:val="21"/>
              </w:rPr>
              <w:t>附录</w:t>
            </w:r>
            <w:r w:rsidRPr="00CF0433">
              <w:rPr>
                <w:rFonts w:hint="eastAsia"/>
                <w:szCs w:val="21"/>
              </w:rPr>
              <w:t>2.2.15</w:t>
            </w:r>
          </w:p>
        </w:tc>
        <w:tc>
          <w:tcPr>
            <w:tcW w:w="7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04E1" w:rsidRPr="00CF0433" w:rsidRDefault="00C904E1" w:rsidP="007451E5">
            <w:pPr>
              <w:spacing w:line="360" w:lineRule="auto"/>
              <w:jc w:val="left"/>
              <w:rPr>
                <w:szCs w:val="21"/>
              </w:rPr>
            </w:pPr>
            <w:r w:rsidRPr="00CF0433">
              <w:rPr>
                <w:szCs w:val="21"/>
              </w:rPr>
              <w:t>洁净厂房内压缩空气用于注塑件上微粒的清理，属于与产品表面直接接触的气体，但没有开展对产品影响程度的验证。</w:t>
            </w:r>
          </w:p>
        </w:tc>
      </w:tr>
      <w:tr w:rsidR="00C904E1" w:rsidRPr="00CF0433" w:rsidTr="00C904E1">
        <w:trPr>
          <w:trHeight w:val="333"/>
          <w:jc w:val="center"/>
        </w:trPr>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C904E1" w:rsidRPr="00CF0433" w:rsidRDefault="00C904E1" w:rsidP="007451E5">
            <w:pPr>
              <w:spacing w:line="360" w:lineRule="auto"/>
              <w:rPr>
                <w:szCs w:val="21"/>
              </w:rPr>
            </w:pPr>
            <w:r w:rsidRPr="00CF0433">
              <w:rPr>
                <w:rFonts w:hint="eastAsia"/>
                <w:szCs w:val="21"/>
              </w:rPr>
              <w:t>附录</w:t>
            </w:r>
            <w:r w:rsidRPr="00CF0433">
              <w:rPr>
                <w:rFonts w:hint="eastAsia"/>
                <w:szCs w:val="21"/>
              </w:rPr>
              <w:t>2.3.2</w:t>
            </w:r>
          </w:p>
        </w:tc>
        <w:tc>
          <w:tcPr>
            <w:tcW w:w="7433" w:type="dxa"/>
            <w:gridSpan w:val="3"/>
            <w:tcBorders>
              <w:top w:val="single" w:sz="4" w:space="0" w:color="auto"/>
              <w:left w:val="single" w:sz="4" w:space="0" w:color="auto"/>
              <w:bottom w:val="single" w:sz="4" w:space="0" w:color="auto"/>
              <w:right w:val="single" w:sz="4" w:space="0" w:color="auto"/>
            </w:tcBorders>
            <w:shd w:val="clear" w:color="auto" w:fill="auto"/>
          </w:tcPr>
          <w:p w:rsidR="00C904E1" w:rsidRPr="00CF0433" w:rsidRDefault="00C904E1" w:rsidP="007451E5">
            <w:pPr>
              <w:spacing w:line="360" w:lineRule="auto"/>
              <w:rPr>
                <w:szCs w:val="21"/>
              </w:rPr>
            </w:pPr>
            <w:r w:rsidRPr="00CF0433">
              <w:rPr>
                <w:szCs w:val="21"/>
              </w:rPr>
              <w:t>企业洁净区监测规程规定，空气净化系统停机超过</w:t>
            </w:r>
            <w:r w:rsidRPr="00CF0433">
              <w:rPr>
                <w:szCs w:val="21"/>
              </w:rPr>
              <w:t>7</w:t>
            </w:r>
            <w:r w:rsidRPr="00CF0433">
              <w:rPr>
                <w:szCs w:val="21"/>
              </w:rPr>
              <w:t>天再开机需要进行全项检测，但只开展了停机</w:t>
            </w:r>
            <w:r w:rsidRPr="00CF0433">
              <w:rPr>
                <w:szCs w:val="21"/>
              </w:rPr>
              <w:t>2</w:t>
            </w:r>
            <w:r w:rsidRPr="00CF0433">
              <w:rPr>
                <w:szCs w:val="21"/>
              </w:rPr>
              <w:t>天再开机的验证</w:t>
            </w:r>
            <w:r w:rsidRPr="00CF0433">
              <w:rPr>
                <w:rFonts w:hint="eastAsia"/>
                <w:szCs w:val="21"/>
              </w:rPr>
              <w:t>。</w:t>
            </w:r>
          </w:p>
        </w:tc>
      </w:tr>
      <w:tr w:rsidR="00C904E1" w:rsidRPr="00CF0433" w:rsidTr="00C904E1">
        <w:trPr>
          <w:trHeight w:val="333"/>
          <w:jc w:val="center"/>
        </w:trPr>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C904E1" w:rsidRPr="00CF0433" w:rsidRDefault="00C904E1" w:rsidP="007451E5">
            <w:pPr>
              <w:spacing w:line="360" w:lineRule="auto"/>
              <w:rPr>
                <w:szCs w:val="21"/>
              </w:rPr>
            </w:pPr>
            <w:r w:rsidRPr="00CF0433">
              <w:rPr>
                <w:rFonts w:hint="eastAsia"/>
                <w:szCs w:val="21"/>
              </w:rPr>
              <w:t>附录</w:t>
            </w:r>
            <w:r w:rsidRPr="00CF0433">
              <w:rPr>
                <w:rFonts w:hint="eastAsia"/>
                <w:szCs w:val="21"/>
              </w:rPr>
              <w:t>2.3.5</w:t>
            </w:r>
          </w:p>
        </w:tc>
        <w:tc>
          <w:tcPr>
            <w:tcW w:w="7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04E1" w:rsidRPr="00CF0433" w:rsidRDefault="00C904E1" w:rsidP="007451E5">
            <w:pPr>
              <w:spacing w:line="360" w:lineRule="auto"/>
              <w:jc w:val="left"/>
              <w:rPr>
                <w:szCs w:val="21"/>
              </w:rPr>
            </w:pPr>
            <w:r w:rsidRPr="00CF0433">
              <w:rPr>
                <w:szCs w:val="21"/>
              </w:rPr>
              <w:t>企业洁净车间的印刷间安装了印刷机，用于注塑件的标识印刷，机器上油污多，且不易清洁处理。</w:t>
            </w:r>
          </w:p>
        </w:tc>
      </w:tr>
      <w:tr w:rsidR="00C904E1" w:rsidRPr="00CF0433" w:rsidTr="00C904E1">
        <w:trPr>
          <w:trHeight w:val="333"/>
          <w:jc w:val="center"/>
        </w:trPr>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C904E1" w:rsidRPr="00CF0433" w:rsidRDefault="00C904E1" w:rsidP="007451E5">
            <w:pPr>
              <w:spacing w:line="360" w:lineRule="auto"/>
              <w:rPr>
                <w:szCs w:val="21"/>
              </w:rPr>
            </w:pPr>
            <w:r w:rsidRPr="00CF0433">
              <w:rPr>
                <w:szCs w:val="21"/>
              </w:rPr>
              <w:t>附录</w:t>
            </w:r>
            <w:r w:rsidRPr="00CF0433">
              <w:rPr>
                <w:szCs w:val="21"/>
              </w:rPr>
              <w:t>2.5.3</w:t>
            </w:r>
          </w:p>
        </w:tc>
        <w:tc>
          <w:tcPr>
            <w:tcW w:w="7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04E1" w:rsidRPr="00CF0433" w:rsidRDefault="00C904E1" w:rsidP="007451E5">
            <w:pPr>
              <w:spacing w:line="360" w:lineRule="auto"/>
              <w:jc w:val="left"/>
              <w:rPr>
                <w:szCs w:val="21"/>
              </w:rPr>
            </w:pPr>
            <w:r w:rsidRPr="00CF0433">
              <w:rPr>
                <w:szCs w:val="21"/>
              </w:rPr>
              <w:t>未确定所采购初包装材料初始污染菌和微粒污染可接受水平并形成文件。</w:t>
            </w:r>
          </w:p>
        </w:tc>
      </w:tr>
      <w:tr w:rsidR="00C904E1" w:rsidRPr="00CF0433" w:rsidTr="00C904E1">
        <w:trPr>
          <w:trHeight w:val="333"/>
          <w:jc w:val="center"/>
        </w:trPr>
        <w:tc>
          <w:tcPr>
            <w:tcW w:w="1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4E1" w:rsidRPr="00CF0433" w:rsidRDefault="00C904E1" w:rsidP="007451E5">
            <w:pPr>
              <w:rPr>
                <w:szCs w:val="21"/>
              </w:rPr>
            </w:pPr>
            <w:r w:rsidRPr="00CF0433">
              <w:rPr>
                <w:szCs w:val="21"/>
              </w:rPr>
              <w:t>附录</w:t>
            </w:r>
            <w:r w:rsidRPr="00CF0433">
              <w:rPr>
                <w:szCs w:val="21"/>
              </w:rPr>
              <w:t>2.6.7</w:t>
            </w:r>
          </w:p>
        </w:tc>
        <w:tc>
          <w:tcPr>
            <w:tcW w:w="7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04E1" w:rsidRPr="00CF0433" w:rsidRDefault="00C904E1" w:rsidP="007451E5">
            <w:pPr>
              <w:adjustRightInd w:val="0"/>
              <w:snapToGrid w:val="0"/>
              <w:spacing w:line="300" w:lineRule="atLeast"/>
              <w:rPr>
                <w:szCs w:val="21"/>
              </w:rPr>
            </w:pPr>
            <w:r w:rsidRPr="00CF0433">
              <w:rPr>
                <w:szCs w:val="21"/>
              </w:rPr>
              <w:t>批号管理规范（</w:t>
            </w:r>
            <w:r w:rsidRPr="00CF0433">
              <w:rPr>
                <w:szCs w:val="21"/>
              </w:rPr>
              <w:t>FRKM/QG7.5.8-01 B/1</w:t>
            </w:r>
            <w:r w:rsidRPr="00CF0433">
              <w:rPr>
                <w:szCs w:val="21"/>
              </w:rPr>
              <w:t>）中未对中间产品注塑件制定批号编制方法。</w:t>
            </w:r>
          </w:p>
        </w:tc>
      </w:tr>
      <w:tr w:rsidR="00C904E1" w:rsidRPr="00CF0433" w:rsidTr="00C904E1">
        <w:trPr>
          <w:trHeight w:val="333"/>
          <w:jc w:val="center"/>
        </w:trPr>
        <w:tc>
          <w:tcPr>
            <w:tcW w:w="1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4E1" w:rsidRPr="00CF0433" w:rsidRDefault="00C904E1" w:rsidP="007451E5">
            <w:pPr>
              <w:rPr>
                <w:szCs w:val="21"/>
              </w:rPr>
            </w:pPr>
            <w:r w:rsidRPr="00CF0433">
              <w:rPr>
                <w:szCs w:val="21"/>
              </w:rPr>
              <w:t>附录</w:t>
            </w:r>
            <w:r w:rsidRPr="00CF0433">
              <w:rPr>
                <w:szCs w:val="21"/>
              </w:rPr>
              <w:t>2.7.2</w:t>
            </w:r>
          </w:p>
        </w:tc>
        <w:tc>
          <w:tcPr>
            <w:tcW w:w="7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04E1" w:rsidRPr="00CF0433" w:rsidRDefault="00C904E1" w:rsidP="007451E5">
            <w:pPr>
              <w:adjustRightInd w:val="0"/>
              <w:snapToGrid w:val="0"/>
              <w:spacing w:line="300" w:lineRule="atLeast"/>
              <w:rPr>
                <w:szCs w:val="21"/>
              </w:rPr>
            </w:pPr>
            <w:r w:rsidRPr="00CF0433">
              <w:rPr>
                <w:szCs w:val="21"/>
              </w:rPr>
              <w:t>企业纯化水日常检测时未按《中国药典》（</w:t>
            </w:r>
            <w:r w:rsidRPr="00CF0433">
              <w:rPr>
                <w:szCs w:val="21"/>
              </w:rPr>
              <w:t>2015</w:t>
            </w:r>
            <w:r w:rsidRPr="00CF0433">
              <w:rPr>
                <w:szCs w:val="21"/>
              </w:rPr>
              <w:t>版）进行氨的检验，检验方法中未使用检验试剂无氨水。</w:t>
            </w:r>
          </w:p>
        </w:tc>
      </w:tr>
      <w:tr w:rsidR="00C904E1" w:rsidRPr="00CF0433" w:rsidTr="00C904E1">
        <w:trPr>
          <w:trHeight w:val="333"/>
          <w:jc w:val="center"/>
        </w:trPr>
        <w:tc>
          <w:tcPr>
            <w:tcW w:w="1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4E1" w:rsidRPr="00CF0433" w:rsidRDefault="00C904E1" w:rsidP="007451E5">
            <w:pPr>
              <w:rPr>
                <w:szCs w:val="21"/>
              </w:rPr>
            </w:pPr>
            <w:r w:rsidRPr="00CF0433">
              <w:rPr>
                <w:szCs w:val="21"/>
              </w:rPr>
              <w:t>附录</w:t>
            </w:r>
            <w:r w:rsidRPr="00CF0433">
              <w:rPr>
                <w:szCs w:val="21"/>
              </w:rPr>
              <w:t>2.7.3</w:t>
            </w:r>
          </w:p>
        </w:tc>
        <w:tc>
          <w:tcPr>
            <w:tcW w:w="7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04E1" w:rsidRPr="00CF0433" w:rsidRDefault="00C904E1" w:rsidP="007451E5">
            <w:pPr>
              <w:spacing w:line="360" w:lineRule="auto"/>
              <w:jc w:val="left"/>
              <w:rPr>
                <w:szCs w:val="21"/>
              </w:rPr>
            </w:pPr>
            <w:r w:rsidRPr="00CF0433">
              <w:rPr>
                <w:szCs w:val="21"/>
              </w:rPr>
              <w:t>微生物检测规范（</w:t>
            </w:r>
            <w:r w:rsidRPr="00CF0433">
              <w:rPr>
                <w:szCs w:val="21"/>
              </w:rPr>
              <w:t>FRKM/QR6.4-01</w:t>
            </w:r>
            <w:r w:rsidRPr="00CF0433">
              <w:rPr>
                <w:szCs w:val="21"/>
              </w:rPr>
              <w:t>，</w:t>
            </w:r>
            <w:r w:rsidRPr="00CF0433">
              <w:rPr>
                <w:szCs w:val="21"/>
              </w:rPr>
              <w:t>A/9</w:t>
            </w:r>
            <w:r w:rsidRPr="00CF0433">
              <w:rPr>
                <w:szCs w:val="21"/>
              </w:rPr>
              <w:t>）中未规定生物安全柜和超净工作台沉降菌检测的采样点分布图。企业的沉降菌检测记录（</w:t>
            </w:r>
            <w:r w:rsidRPr="00CF0433">
              <w:rPr>
                <w:szCs w:val="21"/>
              </w:rPr>
              <w:t>FRKM/QR6.4-04</w:t>
            </w:r>
            <w:r w:rsidRPr="00CF0433">
              <w:rPr>
                <w:szCs w:val="21"/>
              </w:rPr>
              <w:t>）中未记录阳性对照室生物安全柜、无菌室和微生物限度室的超净工作台的沉降菌的采样点分布图。</w:t>
            </w:r>
          </w:p>
        </w:tc>
      </w:tr>
      <w:tr w:rsidR="00C904E1" w:rsidRPr="00CF0433" w:rsidTr="00C904E1">
        <w:trPr>
          <w:trHeight w:val="737"/>
          <w:jc w:val="center"/>
        </w:trPr>
        <w:tc>
          <w:tcPr>
            <w:tcW w:w="9126" w:type="dxa"/>
            <w:gridSpan w:val="5"/>
            <w:tcBorders>
              <w:top w:val="single" w:sz="4" w:space="0" w:color="auto"/>
            </w:tcBorders>
            <w:shd w:val="clear" w:color="auto" w:fill="auto"/>
            <w:vAlign w:val="center"/>
          </w:tcPr>
          <w:p w:rsidR="00C904E1" w:rsidRPr="00CF0433" w:rsidRDefault="00C904E1" w:rsidP="007451E5">
            <w:pPr>
              <w:spacing w:line="360" w:lineRule="auto"/>
              <w:jc w:val="center"/>
              <w:rPr>
                <w:szCs w:val="21"/>
              </w:rPr>
            </w:pPr>
            <w:r w:rsidRPr="00CF0433">
              <w:rPr>
                <w:b/>
                <w:bCs/>
                <w:szCs w:val="21"/>
              </w:rPr>
              <w:t>处理措施</w:t>
            </w:r>
          </w:p>
        </w:tc>
      </w:tr>
      <w:tr w:rsidR="00C904E1" w:rsidRPr="00CF0433" w:rsidTr="00C904E1">
        <w:trPr>
          <w:trHeight w:val="737"/>
          <w:jc w:val="center"/>
        </w:trPr>
        <w:tc>
          <w:tcPr>
            <w:tcW w:w="9126" w:type="dxa"/>
            <w:gridSpan w:val="5"/>
            <w:shd w:val="clear" w:color="auto" w:fill="auto"/>
            <w:vAlign w:val="center"/>
          </w:tcPr>
          <w:p w:rsidR="00C904E1" w:rsidRPr="00CF0433" w:rsidRDefault="00C904E1" w:rsidP="007451E5">
            <w:pPr>
              <w:spacing w:line="360" w:lineRule="auto"/>
              <w:jc w:val="center"/>
              <w:rPr>
                <w:szCs w:val="21"/>
              </w:rPr>
            </w:pPr>
            <w:r w:rsidRPr="00CF0433">
              <w:rPr>
                <w:rFonts w:hint="eastAsia"/>
                <w:bCs/>
                <w:color w:val="000000"/>
                <w:szCs w:val="21"/>
              </w:rPr>
              <w:t>限期</w:t>
            </w:r>
            <w:r w:rsidRPr="00CF0433">
              <w:rPr>
                <w:bCs/>
                <w:color w:val="000000"/>
                <w:szCs w:val="21"/>
              </w:rPr>
              <w:t>整</w:t>
            </w:r>
            <w:r w:rsidRPr="00CF0433">
              <w:rPr>
                <w:bCs/>
                <w:szCs w:val="21"/>
              </w:rPr>
              <w:t>改</w:t>
            </w:r>
          </w:p>
        </w:tc>
      </w:tr>
    </w:tbl>
    <w:p w:rsidR="00C904E1" w:rsidRPr="00CF0433" w:rsidRDefault="00C904E1" w:rsidP="00C904E1"/>
    <w:p w:rsidR="00C904E1" w:rsidRPr="00CF0433" w:rsidRDefault="00C904E1" w:rsidP="00A513C7">
      <w:pPr>
        <w:spacing w:line="600" w:lineRule="exact"/>
        <w:rPr>
          <w:rFonts w:eastAsia="仿宋_GB2312"/>
          <w:sz w:val="28"/>
          <w:szCs w:val="28"/>
        </w:rPr>
      </w:pPr>
      <w:bookmarkStart w:id="0" w:name="ChaoSongΩ1"/>
      <w:bookmarkEnd w:id="0"/>
    </w:p>
    <w:p w:rsidR="002C0AE4" w:rsidRDefault="002C0AE4"/>
    <w:sectPr w:rsidR="002C0AE4" w:rsidSect="00932118">
      <w:footerReference w:type="even" r:id="rId6"/>
      <w:footerReference w:type="default" r:id="rId7"/>
      <w:pgSz w:w="11906" w:h="16838"/>
      <w:pgMar w:top="1928" w:right="1531" w:bottom="1814" w:left="1531" w:header="851" w:footer="1247"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C60" w:rsidRDefault="00630C60" w:rsidP="00C904E1">
      <w:r>
        <w:separator/>
      </w:r>
    </w:p>
  </w:endnote>
  <w:endnote w:type="continuationSeparator" w:id="1">
    <w:p w:rsidR="00630C60" w:rsidRDefault="00630C60" w:rsidP="00C904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06C" w:rsidRPr="00932118" w:rsidRDefault="005B6E09">
    <w:pPr>
      <w:pStyle w:val="a4"/>
      <w:rPr>
        <w:sz w:val="28"/>
        <w:szCs w:val="28"/>
      </w:rPr>
    </w:pPr>
    <w:r w:rsidRPr="00932118">
      <w:rPr>
        <w:rFonts w:hint="eastAsia"/>
        <w:color w:val="FFFFFF"/>
        <w:sz w:val="28"/>
        <w:szCs w:val="28"/>
      </w:rPr>
      <w:t>—</w:t>
    </w:r>
    <w:r>
      <w:rPr>
        <w:rFonts w:hint="eastAsia"/>
        <w:sz w:val="28"/>
        <w:szCs w:val="28"/>
      </w:rPr>
      <w:t>—</w:t>
    </w:r>
    <w:r w:rsidR="00431C20" w:rsidRPr="00932118">
      <w:rPr>
        <w:sz w:val="28"/>
        <w:szCs w:val="28"/>
      </w:rPr>
      <w:fldChar w:fldCharType="begin"/>
    </w:r>
    <w:r w:rsidRPr="00932118">
      <w:rPr>
        <w:sz w:val="28"/>
        <w:szCs w:val="28"/>
      </w:rPr>
      <w:instrText>PAGE   \* MERGEFORMAT</w:instrText>
    </w:r>
    <w:r w:rsidR="00431C20" w:rsidRPr="00932118">
      <w:rPr>
        <w:sz w:val="28"/>
        <w:szCs w:val="28"/>
      </w:rPr>
      <w:fldChar w:fldCharType="separate"/>
    </w:r>
    <w:r w:rsidRPr="00290470">
      <w:rPr>
        <w:noProof/>
        <w:sz w:val="28"/>
        <w:szCs w:val="28"/>
        <w:lang w:val="zh-CN"/>
      </w:rPr>
      <w:t>6</w:t>
    </w:r>
    <w:r w:rsidR="00431C20" w:rsidRPr="00932118">
      <w:rPr>
        <w:sz w:val="28"/>
        <w:szCs w:val="28"/>
      </w:rPr>
      <w:fldChar w:fldCharType="end"/>
    </w:r>
    <w:r>
      <w:rPr>
        <w:rFonts w:hint="eastAsia"/>
        <w:sz w:val="28"/>
        <w:szCs w:val="28"/>
      </w:rPr>
      <w:t>—</w:t>
    </w:r>
  </w:p>
  <w:p w:rsidR="00054F05" w:rsidRDefault="00630C60" w:rsidP="00BC1D01">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06C" w:rsidRPr="00932118" w:rsidRDefault="005B6E09" w:rsidP="00932118">
    <w:pPr>
      <w:pStyle w:val="a4"/>
      <w:wordWrap w:val="0"/>
      <w:jc w:val="right"/>
      <w:rPr>
        <w:sz w:val="28"/>
        <w:szCs w:val="28"/>
      </w:rPr>
    </w:pPr>
    <w:r>
      <w:rPr>
        <w:rFonts w:hint="eastAsia"/>
        <w:sz w:val="28"/>
        <w:szCs w:val="28"/>
      </w:rPr>
      <w:t>—</w:t>
    </w:r>
    <w:r w:rsidR="00431C20" w:rsidRPr="00932118">
      <w:rPr>
        <w:sz w:val="28"/>
        <w:szCs w:val="28"/>
      </w:rPr>
      <w:fldChar w:fldCharType="begin"/>
    </w:r>
    <w:r w:rsidRPr="00932118">
      <w:rPr>
        <w:sz w:val="28"/>
        <w:szCs w:val="28"/>
      </w:rPr>
      <w:instrText>PAGE   \* MERGEFORMAT</w:instrText>
    </w:r>
    <w:r w:rsidR="00431C20" w:rsidRPr="00932118">
      <w:rPr>
        <w:sz w:val="28"/>
        <w:szCs w:val="28"/>
      </w:rPr>
      <w:fldChar w:fldCharType="separate"/>
    </w:r>
    <w:r w:rsidR="00A513C7" w:rsidRPr="00A513C7">
      <w:rPr>
        <w:noProof/>
        <w:sz w:val="28"/>
        <w:szCs w:val="28"/>
        <w:lang w:val="zh-CN"/>
      </w:rPr>
      <w:t>2</w:t>
    </w:r>
    <w:r w:rsidR="00431C20" w:rsidRPr="00932118">
      <w:rPr>
        <w:sz w:val="28"/>
        <w:szCs w:val="28"/>
      </w:rPr>
      <w:fldChar w:fldCharType="end"/>
    </w:r>
    <w:r>
      <w:rPr>
        <w:rFonts w:hint="eastAsia"/>
        <w:sz w:val="28"/>
        <w:szCs w:val="28"/>
      </w:rPr>
      <w:t>—</w:t>
    </w:r>
    <w:r w:rsidRPr="00932118">
      <w:rPr>
        <w:rFonts w:hint="eastAsia"/>
        <w:color w:val="FFFFFF"/>
        <w:sz w:val="28"/>
        <w:szCs w:val="28"/>
      </w:rPr>
      <w:t>—</w:t>
    </w:r>
  </w:p>
  <w:p w:rsidR="00054F05" w:rsidRDefault="00630C60" w:rsidP="00BC1D01">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C60" w:rsidRDefault="00630C60" w:rsidP="00C904E1">
      <w:r>
        <w:separator/>
      </w:r>
    </w:p>
  </w:footnote>
  <w:footnote w:type="continuationSeparator" w:id="1">
    <w:p w:rsidR="00630C60" w:rsidRDefault="00630C60" w:rsidP="00C904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418D"/>
    <w:rsid w:val="00063CB8"/>
    <w:rsid w:val="002C0AE4"/>
    <w:rsid w:val="003E16A8"/>
    <w:rsid w:val="00431C20"/>
    <w:rsid w:val="005B6E09"/>
    <w:rsid w:val="00630C60"/>
    <w:rsid w:val="006640FB"/>
    <w:rsid w:val="00A513C7"/>
    <w:rsid w:val="00C2418D"/>
    <w:rsid w:val="00C904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4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04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904E1"/>
    <w:rPr>
      <w:sz w:val="18"/>
      <w:szCs w:val="18"/>
    </w:rPr>
  </w:style>
  <w:style w:type="paragraph" w:styleId="a4">
    <w:name w:val="footer"/>
    <w:basedOn w:val="a"/>
    <w:link w:val="Char0"/>
    <w:uiPriority w:val="99"/>
    <w:unhideWhenUsed/>
    <w:rsid w:val="00C904E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904E1"/>
    <w:rPr>
      <w:sz w:val="18"/>
      <w:szCs w:val="18"/>
    </w:rPr>
  </w:style>
  <w:style w:type="paragraph" w:styleId="a5">
    <w:name w:val="Balloon Text"/>
    <w:basedOn w:val="a"/>
    <w:link w:val="Char1"/>
    <w:uiPriority w:val="99"/>
    <w:semiHidden/>
    <w:unhideWhenUsed/>
    <w:rsid w:val="00C904E1"/>
    <w:rPr>
      <w:sz w:val="18"/>
      <w:szCs w:val="18"/>
    </w:rPr>
  </w:style>
  <w:style w:type="character" w:customStyle="1" w:styleId="Char1">
    <w:name w:val="批注框文本 Char"/>
    <w:basedOn w:val="a0"/>
    <w:link w:val="a5"/>
    <w:uiPriority w:val="99"/>
    <w:semiHidden/>
    <w:rsid w:val="00C904E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4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04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904E1"/>
    <w:rPr>
      <w:sz w:val="18"/>
      <w:szCs w:val="18"/>
    </w:rPr>
  </w:style>
  <w:style w:type="paragraph" w:styleId="a4">
    <w:name w:val="footer"/>
    <w:basedOn w:val="a"/>
    <w:link w:val="Char0"/>
    <w:uiPriority w:val="99"/>
    <w:unhideWhenUsed/>
    <w:rsid w:val="00C904E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904E1"/>
    <w:rPr>
      <w:sz w:val="18"/>
      <w:szCs w:val="18"/>
    </w:rPr>
  </w:style>
  <w:style w:type="paragraph" w:styleId="a5">
    <w:name w:val="Balloon Text"/>
    <w:basedOn w:val="a"/>
    <w:link w:val="Char1"/>
    <w:uiPriority w:val="99"/>
    <w:semiHidden/>
    <w:unhideWhenUsed/>
    <w:rsid w:val="00C904E1"/>
    <w:rPr>
      <w:sz w:val="18"/>
      <w:szCs w:val="18"/>
    </w:rPr>
  </w:style>
  <w:style w:type="character" w:customStyle="1" w:styleId="Char1">
    <w:name w:val="批注框文本 Char"/>
    <w:basedOn w:val="a0"/>
    <w:link w:val="a5"/>
    <w:uiPriority w:val="99"/>
    <w:semiHidden/>
    <w:rsid w:val="00C904E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1157</Characters>
  <Application>Microsoft Office Word</Application>
  <DocSecurity>0</DocSecurity>
  <Lines>9</Lines>
  <Paragraphs>2</Paragraphs>
  <ScaleCrop>false</ScaleCrop>
  <Company>CFDA</Company>
  <LinksUpToDate>false</LinksUpToDate>
  <CharactersWithSpaces>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果靓</dc:creator>
  <cp:lastModifiedBy>wxl</cp:lastModifiedBy>
  <cp:revision>2</cp:revision>
  <dcterms:created xsi:type="dcterms:W3CDTF">2017-06-23T09:37:00Z</dcterms:created>
  <dcterms:modified xsi:type="dcterms:W3CDTF">2017-06-23T09:37:00Z</dcterms:modified>
</cp:coreProperties>
</file>